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outlineLvl w:val="9"/>
        <w:rPr>
          <w:rFonts w:hint="eastAsia" w:ascii="仿宋_GB2312" w:hAnsi="仿宋_GB2312" w:eastAsia="仿宋_GB2312" w:cs="仿宋_GB2312"/>
          <w:b w:val="0"/>
          <w:bCs w:val="0"/>
          <w:sz w:val="30"/>
          <w:szCs w:val="30"/>
          <w:lang w:val="en-US" w:eastAsia="zh-CN"/>
        </w:rPr>
      </w:pPr>
      <w:bookmarkStart w:id="0" w:name="_Toc30066"/>
      <w:r>
        <w:rPr>
          <w:rFonts w:hint="eastAsia" w:ascii="仿宋_GB2312" w:hAnsi="仿宋_GB2312" w:eastAsia="仿宋_GB2312" w:cs="仿宋_GB2312"/>
          <w:b w:val="0"/>
          <w:bCs w:val="0"/>
          <w:sz w:val="30"/>
          <w:szCs w:val="30"/>
          <w:lang w:val="en-US" w:eastAsia="zh-CN"/>
        </w:rPr>
        <w:t>随州市公示地价体系项目</w:t>
      </w:r>
      <w:bookmarkEnd w:id="0"/>
    </w:p>
    <w:p>
      <w:pPr>
        <w:jc w:val="center"/>
        <w:rPr>
          <w:rFonts w:hint="default" w:ascii="Times New Roman" w:hAnsi="Times New Roman" w:eastAsia="宋体" w:cs="Times New Roman"/>
          <w:b/>
          <w:bCs/>
          <w:sz w:val="48"/>
          <w:szCs w:val="48"/>
        </w:rPr>
      </w:pPr>
    </w:p>
    <w:p>
      <w:pPr>
        <w:jc w:val="center"/>
        <w:rPr>
          <w:rFonts w:hint="default" w:ascii="Times New Roman" w:hAnsi="Times New Roman" w:eastAsia="宋体" w:cs="Times New Roman"/>
          <w:b/>
          <w:bCs/>
          <w:sz w:val="48"/>
          <w:szCs w:val="48"/>
        </w:rPr>
      </w:pPr>
    </w:p>
    <w:p>
      <w:pPr>
        <w:jc w:val="center"/>
        <w:rPr>
          <w:rFonts w:hint="default" w:ascii="Times New Roman" w:hAnsi="Times New Roman" w:eastAsia="宋体" w:cs="Times New Roman"/>
          <w:b/>
          <w:bCs/>
          <w:sz w:val="48"/>
          <w:szCs w:val="48"/>
        </w:rPr>
      </w:pPr>
    </w:p>
    <w:p>
      <w:pPr>
        <w:jc w:val="center"/>
        <w:rPr>
          <w:rFonts w:hint="default" w:ascii="Times New Roman" w:hAnsi="Times New Roman" w:eastAsia="宋体" w:cs="Times New Roman"/>
          <w:b/>
          <w:bCs/>
          <w:sz w:val="48"/>
          <w:szCs w:val="48"/>
        </w:rPr>
      </w:pPr>
    </w:p>
    <w:p>
      <w:pPr>
        <w:jc w:val="center"/>
        <w:rPr>
          <w:rFonts w:hint="default" w:ascii="Times New Roman" w:hAnsi="Times New Roman" w:eastAsia="宋体" w:cs="Times New Roman"/>
          <w:b/>
          <w:bCs/>
          <w:sz w:val="48"/>
          <w:szCs w:val="48"/>
        </w:rPr>
      </w:pPr>
    </w:p>
    <w:p>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outlineLvl w:val="9"/>
        <w:rPr>
          <w:rFonts w:hint="default" w:ascii="黑体" w:hAnsi="黑体" w:eastAsia="黑体" w:cs="黑体"/>
          <w:b/>
          <w:bCs/>
          <w:sz w:val="48"/>
          <w:szCs w:val="48"/>
          <w:lang w:val="en-US" w:eastAsia="zh-CN"/>
        </w:rPr>
      </w:pPr>
      <w:bookmarkStart w:id="1" w:name="_Toc7875"/>
      <w:r>
        <w:rPr>
          <w:rFonts w:hint="eastAsia" w:ascii="黑体" w:hAnsi="黑体" w:eastAsia="黑体" w:cs="黑体"/>
          <w:b/>
          <w:bCs/>
          <w:sz w:val="52"/>
          <w:szCs w:val="52"/>
          <w:lang w:val="en-US" w:eastAsia="zh-CN"/>
        </w:rPr>
        <w:t>随州</w:t>
      </w:r>
      <w:r>
        <w:rPr>
          <w:rFonts w:hint="eastAsia" w:ascii="黑体" w:hAnsi="黑体" w:eastAsia="黑体" w:cs="黑体"/>
          <w:b/>
          <w:bCs/>
          <w:sz w:val="52"/>
          <w:szCs w:val="52"/>
        </w:rPr>
        <w:t>市</w:t>
      </w:r>
      <w:r>
        <w:rPr>
          <w:rFonts w:hint="eastAsia" w:ascii="黑体" w:hAnsi="黑体" w:eastAsia="黑体"/>
          <w:b/>
          <w:bCs/>
          <w:sz w:val="52"/>
          <w:szCs w:val="52"/>
          <w:lang w:val="en-US" w:eastAsia="zh-CN"/>
        </w:rPr>
        <w:t>城区</w:t>
      </w:r>
      <w:bookmarkEnd w:id="1"/>
      <w:r>
        <w:rPr>
          <w:rFonts w:hint="eastAsia" w:ascii="黑体" w:hAnsi="黑体" w:eastAsia="黑体"/>
          <w:b/>
          <w:bCs/>
          <w:sz w:val="52"/>
          <w:szCs w:val="52"/>
          <w:lang w:val="en-US" w:eastAsia="zh-CN"/>
        </w:rPr>
        <w:t>公示地价体系</w:t>
      </w:r>
      <w:bookmarkStart w:id="2" w:name="_Toc16853"/>
      <w:r>
        <w:rPr>
          <w:rFonts w:hint="eastAsia" w:ascii="黑体" w:hAnsi="黑体" w:eastAsia="黑体" w:cs="黑体"/>
          <w:b/>
          <w:bCs/>
          <w:sz w:val="52"/>
          <w:szCs w:val="52"/>
          <w:lang w:eastAsia="zh-CN"/>
        </w:rPr>
        <w:t>更新</w:t>
      </w:r>
      <w:bookmarkEnd w:id="2"/>
      <w:r>
        <w:rPr>
          <w:rFonts w:hint="eastAsia" w:ascii="黑体" w:hAnsi="黑体" w:eastAsia="黑体" w:cs="黑体"/>
          <w:b/>
          <w:bCs/>
          <w:sz w:val="52"/>
          <w:szCs w:val="52"/>
          <w:lang w:val="en-US" w:eastAsia="zh-CN"/>
        </w:rPr>
        <w:t>成果简报</w:t>
      </w:r>
    </w:p>
    <w:p>
      <w:pPr>
        <w:jc w:val="center"/>
        <w:rPr>
          <w:rFonts w:hint="default" w:ascii="Times New Roman" w:hAnsi="Times New Roman" w:eastAsia="宋体" w:cs="Times New Roman"/>
          <w:b/>
          <w:bCs/>
          <w:sz w:val="30"/>
        </w:rPr>
      </w:pPr>
    </w:p>
    <w:p>
      <w:pPr>
        <w:jc w:val="center"/>
        <w:rPr>
          <w:rFonts w:hint="eastAsia" w:ascii="Times New Roman" w:hAnsi="Times New Roman" w:eastAsia="宋体" w:cs="Times New Roman"/>
          <w:b/>
          <w:bCs/>
          <w:sz w:val="30"/>
          <w:lang w:val="en-US" w:eastAsia="zh-CN"/>
        </w:rPr>
      </w:pPr>
    </w:p>
    <w:p>
      <w:pPr>
        <w:pStyle w:val="2"/>
        <w:rPr>
          <w:rFonts w:hint="eastAsia"/>
          <w:lang w:val="en-US" w:eastAsia="zh-CN"/>
        </w:rPr>
      </w:pPr>
    </w:p>
    <w:p>
      <w:pPr>
        <w:jc w:val="center"/>
        <w:rPr>
          <w:rFonts w:hint="default" w:ascii="Times New Roman" w:hAnsi="Times New Roman" w:eastAsia="宋体" w:cs="Times New Roman"/>
          <w:b/>
          <w:bCs/>
          <w:sz w:val="30"/>
        </w:rPr>
      </w:pPr>
      <w:bookmarkStart w:id="38" w:name="_GoBack"/>
      <w:bookmarkEnd w:id="38"/>
    </w:p>
    <w:p>
      <w:pPr>
        <w:jc w:val="center"/>
        <w:rPr>
          <w:rFonts w:hint="default" w:ascii="Times New Roman" w:hAnsi="Times New Roman" w:eastAsia="宋体" w:cs="Times New Roman"/>
          <w:b/>
          <w:bCs/>
          <w:sz w:val="30"/>
        </w:rPr>
      </w:pPr>
    </w:p>
    <w:p>
      <w:pPr>
        <w:jc w:val="center"/>
        <w:rPr>
          <w:rFonts w:hint="default" w:ascii="Times New Roman" w:hAnsi="Times New Roman" w:eastAsia="宋体" w:cs="Times New Roman"/>
          <w:b/>
          <w:bCs/>
          <w:sz w:val="30"/>
        </w:rPr>
      </w:pPr>
    </w:p>
    <w:p>
      <w:pPr>
        <w:jc w:val="center"/>
        <w:rPr>
          <w:rFonts w:hint="default" w:ascii="Times New Roman" w:hAnsi="Times New Roman" w:eastAsia="宋体" w:cs="Times New Roman"/>
          <w:b/>
          <w:bCs/>
          <w:sz w:val="30"/>
        </w:rPr>
      </w:pPr>
    </w:p>
    <w:p>
      <w:pPr>
        <w:jc w:val="center"/>
        <w:rPr>
          <w:rFonts w:hint="default" w:ascii="Times New Roman" w:hAnsi="Times New Roman" w:eastAsia="宋体" w:cs="Times New Roman"/>
          <w:b/>
          <w:bCs/>
          <w:sz w:val="30"/>
        </w:rPr>
      </w:pPr>
    </w:p>
    <w:p>
      <w:pPr>
        <w:pStyle w:val="20"/>
        <w:rPr>
          <w:rFonts w:hint="default"/>
        </w:rPr>
      </w:pPr>
    </w:p>
    <w:p>
      <w:pPr>
        <w:rPr>
          <w:rFonts w:hint="default"/>
        </w:rPr>
      </w:pPr>
    </w:p>
    <w:p>
      <w:pPr>
        <w:pStyle w:val="2"/>
        <w:jc w:val="center"/>
        <w:rPr>
          <w:rFonts w:hint="default"/>
        </w:rPr>
      </w:pPr>
    </w:p>
    <w:p>
      <w:pPr>
        <w:pStyle w:val="2"/>
        <w:jc w:val="center"/>
        <w:rPr>
          <w:rFonts w:hint="default"/>
        </w:rPr>
      </w:pPr>
    </w:p>
    <w:p>
      <w:pPr>
        <w:jc w:val="center"/>
        <w:rPr>
          <w:rFonts w:hint="default" w:ascii="Times New Roman" w:hAnsi="Times New Roman" w:eastAsia="宋体" w:cs="Times New Roman"/>
          <w:b/>
          <w:bCs/>
          <w:sz w:val="30"/>
        </w:rPr>
      </w:pP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b/>
          <w:bCs/>
          <w:snapToGrid w:val="0"/>
          <w:kern w:val="0"/>
          <w:sz w:val="36"/>
          <w:szCs w:val="36"/>
          <w:lang w:eastAsia="zh-CN"/>
        </w:rPr>
      </w:pPr>
      <w:bookmarkStart w:id="3" w:name="_Toc29755"/>
      <w:r>
        <w:rPr>
          <w:rFonts w:hint="eastAsia" w:cs="Times New Roman"/>
          <w:b/>
          <w:bCs/>
          <w:snapToGrid w:val="0"/>
          <w:kern w:val="0"/>
          <w:sz w:val="36"/>
          <w:szCs w:val="36"/>
          <w:lang w:val="en-US" w:eastAsia="zh-CN"/>
        </w:rPr>
        <w:t>随州市自然资源和规划局</w:t>
      </w:r>
      <w:bookmarkEnd w:id="3"/>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sz w:val="36"/>
          <w:szCs w:val="36"/>
          <w:lang w:val="en-US" w:eastAsia="zh-CN"/>
        </w:rPr>
      </w:pPr>
      <w:r>
        <w:rPr>
          <w:rFonts w:hint="default" w:ascii="Times New Roman" w:hAnsi="Times New Roman" w:cs="Times New Roman"/>
          <w:b/>
          <w:bCs/>
          <w:snapToGrid w:val="0"/>
          <w:kern w:val="0"/>
          <w:sz w:val="36"/>
          <w:szCs w:val="36"/>
          <w:lang w:val="en-US" w:eastAsia="zh-CN"/>
        </w:rPr>
        <w:t>202</w:t>
      </w:r>
      <w:r>
        <w:rPr>
          <w:rFonts w:hint="eastAsia" w:cs="Times New Roman"/>
          <w:b/>
          <w:bCs/>
          <w:snapToGrid w:val="0"/>
          <w:kern w:val="0"/>
          <w:sz w:val="36"/>
          <w:szCs w:val="36"/>
          <w:lang w:val="en-US" w:eastAsia="zh-CN"/>
        </w:rPr>
        <w:t>4</w:t>
      </w:r>
      <w:r>
        <w:rPr>
          <w:rFonts w:hint="default" w:ascii="Times New Roman" w:hAnsi="Times New Roman" w:cs="Times New Roman"/>
          <w:b/>
          <w:bCs/>
          <w:snapToGrid w:val="0"/>
          <w:kern w:val="0"/>
          <w:sz w:val="36"/>
          <w:szCs w:val="36"/>
          <w:lang w:val="en-US" w:eastAsia="zh-CN"/>
        </w:rPr>
        <w:t>年</w:t>
      </w:r>
      <w:r>
        <w:rPr>
          <w:rFonts w:hint="eastAsia" w:cs="Times New Roman"/>
          <w:b/>
          <w:bCs/>
          <w:snapToGrid w:val="0"/>
          <w:kern w:val="0"/>
          <w:sz w:val="36"/>
          <w:szCs w:val="36"/>
          <w:lang w:val="en-US" w:eastAsia="zh-CN"/>
        </w:rPr>
        <w:t>4</w:t>
      </w:r>
      <w:r>
        <w:rPr>
          <w:rFonts w:hint="default" w:ascii="Times New Roman" w:hAnsi="Times New Roman" w:cs="Times New Roman"/>
          <w:b/>
          <w:bCs/>
          <w:snapToGrid w:val="0"/>
          <w:kern w:val="0"/>
          <w:sz w:val="36"/>
          <w:szCs w:val="36"/>
          <w:lang w:val="en-US" w:eastAsia="zh-CN"/>
        </w:rPr>
        <w:t>月</w:t>
      </w:r>
    </w:p>
    <w:p>
      <w:p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cols w:space="425" w:num="1"/>
          <w:docGrid w:type="lines" w:linePitch="312" w:charSpace="0"/>
        </w:sectPr>
      </w:pPr>
    </w:p>
    <w:sdt>
      <w:sdtPr>
        <w:rPr>
          <w:rFonts w:hint="eastAsia" w:ascii="方正仿宋_GB2312" w:hAnsi="方正仿宋_GB2312" w:eastAsia="方正仿宋_GB2312" w:cs="方正仿宋_GB2312"/>
          <w:kern w:val="2"/>
          <w:sz w:val="21"/>
          <w:szCs w:val="21"/>
          <w:lang w:val="en-US" w:eastAsia="zh-CN" w:bidi="ar-SA"/>
        </w:rPr>
        <w:id w:val="147454442"/>
        <w15:color w:val="DBDBDB"/>
        <w:docPartObj>
          <w:docPartGallery w:val="Table of Contents"/>
          <w:docPartUnique/>
        </w:docPartObj>
      </w:sdtPr>
      <w:sdtEndPr>
        <w:rPr>
          <w:rFonts w:hint="eastAsia" w:ascii="Times New Roman" w:hAnsi="Times New Roman" w:eastAsia="仿宋_GB2312" w:cs="Times New Roman"/>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rPr>
              <w:rFonts w:hint="eastAsia" w:ascii="方正仿宋_GB2312" w:hAnsi="方正仿宋_GB2312" w:eastAsia="方正仿宋_GB2312" w:cs="方正仿宋_GB2312"/>
              <w:kern w:val="2"/>
              <w:sz w:val="21"/>
              <w:szCs w:val="21"/>
              <w:lang w:val="en-US" w:eastAsia="zh-CN" w:bidi="ar-SA"/>
            </w:rPr>
          </w:pPr>
          <w:r>
            <w:rPr>
              <w:rFonts w:hint="eastAsia" w:ascii="宋体" w:hAnsi="宋体" w:eastAsia="宋体" w:cs="宋体"/>
              <w:b/>
              <w:bCs/>
              <w:sz w:val="24"/>
              <w:szCs w:val="24"/>
            </w:rPr>
            <w:t>目</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录</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TOC \o "1-3" \h \u </w:instrText>
          </w:r>
          <w:r>
            <w:rPr>
              <w:rFonts w:hint="eastAsia" w:ascii="方正仿宋_GB2312" w:hAnsi="方正仿宋_GB2312" w:eastAsia="方正仿宋_GB2312" w:cs="方正仿宋_GB2312"/>
              <w:sz w:val="21"/>
              <w:szCs w:val="21"/>
            </w:rPr>
            <w:fldChar w:fldCharType="separate"/>
          </w:r>
        </w:p>
        <w:p>
          <w:pPr>
            <w:pStyle w:val="15"/>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_Toc23261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一、城区基准地价</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_Toc23261 \h </w:instrText>
          </w:r>
          <w:r>
            <w:rPr>
              <w:rFonts w:ascii="Times New Roman" w:hAnsi="Times New Roman" w:eastAsia="宋体"/>
              <w:sz w:val="21"/>
            </w:rPr>
            <w:fldChar w:fldCharType="separate"/>
          </w:r>
          <w:r>
            <w:rPr>
              <w:rFonts w:ascii="Times New Roman" w:hAnsi="Times New Roman" w:eastAsia="宋体"/>
              <w:sz w:val="21"/>
            </w:rPr>
            <w:t>1</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_Toc17771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（一）基准地价内涵</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_Toc17771 \h </w:instrText>
          </w:r>
          <w:r>
            <w:rPr>
              <w:rFonts w:ascii="Times New Roman" w:hAnsi="Times New Roman" w:eastAsia="宋体"/>
              <w:sz w:val="21"/>
            </w:rPr>
            <w:fldChar w:fldCharType="separate"/>
          </w:r>
          <w:r>
            <w:rPr>
              <w:rFonts w:ascii="Times New Roman" w:hAnsi="Times New Roman" w:eastAsia="宋体"/>
              <w:sz w:val="21"/>
            </w:rPr>
            <w:t>1</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_Toc30304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（二）基准地价结果</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_Toc30304 \h </w:instrText>
          </w:r>
          <w:r>
            <w:rPr>
              <w:rFonts w:ascii="Times New Roman" w:hAnsi="Times New Roman" w:eastAsia="宋体"/>
              <w:sz w:val="21"/>
            </w:rPr>
            <w:fldChar w:fldCharType="separate"/>
          </w:r>
          <w:r>
            <w:rPr>
              <w:rFonts w:ascii="Times New Roman" w:hAnsi="Times New Roman" w:eastAsia="宋体"/>
              <w:sz w:val="21"/>
            </w:rPr>
            <w:t>1</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_Toc21849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（三）二级地类衔接系数</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_Toc21849 \h </w:instrText>
          </w:r>
          <w:r>
            <w:rPr>
              <w:rFonts w:ascii="Times New Roman" w:hAnsi="Times New Roman" w:eastAsia="宋体"/>
              <w:sz w:val="21"/>
            </w:rPr>
            <w:fldChar w:fldCharType="separate"/>
          </w:r>
          <w:r>
            <w:rPr>
              <w:rFonts w:ascii="Times New Roman" w:hAnsi="Times New Roman" w:eastAsia="宋体"/>
              <w:sz w:val="21"/>
            </w:rPr>
            <w:t>1</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_Toc22485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二、城区基准地价修正体系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_Toc22485 \h </w:instrText>
          </w:r>
          <w:r>
            <w:rPr>
              <w:rFonts w:ascii="Times New Roman" w:hAnsi="Times New Roman" w:eastAsia="宋体"/>
              <w:sz w:val="21"/>
            </w:rPr>
            <w:fldChar w:fldCharType="separate"/>
          </w:r>
          <w:r>
            <w:rPr>
              <w:rFonts w:ascii="Times New Roman" w:hAnsi="Times New Roman" w:eastAsia="宋体"/>
              <w:sz w:val="21"/>
            </w:rPr>
            <w:t>2</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_Toc21340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（一）商业服务业用地</w:t>
          </w:r>
          <w:r>
            <w:rPr>
              <w:rFonts w:hint="eastAsia" w:ascii="Times New Roman" w:hAnsi="Times New Roman" w:eastAsia="宋体"/>
              <w:sz w:val="21"/>
            </w:rPr>
            <w:t>基准地价</w:t>
          </w:r>
          <w:r>
            <w:rPr>
              <w:rFonts w:hint="eastAsia" w:ascii="Times New Roman" w:hAnsi="Times New Roman" w:eastAsia="宋体"/>
              <w:sz w:val="21"/>
              <w:lang w:val="en-US" w:eastAsia="zh-CN"/>
            </w:rPr>
            <w:t>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_Toc21340 \h </w:instrText>
          </w:r>
          <w:r>
            <w:rPr>
              <w:rFonts w:ascii="Times New Roman" w:hAnsi="Times New Roman" w:eastAsia="宋体"/>
              <w:sz w:val="21"/>
            </w:rPr>
            <w:fldChar w:fldCharType="separate"/>
          </w:r>
          <w:r>
            <w:rPr>
              <w:rFonts w:ascii="Times New Roman" w:hAnsi="Times New Roman" w:eastAsia="宋体"/>
              <w:sz w:val="21"/>
            </w:rPr>
            <w:t>4</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_Toc29762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1.商业服务业用地</w:t>
          </w:r>
          <w:r>
            <w:rPr>
              <w:rFonts w:hint="eastAsia" w:ascii="Times New Roman" w:hAnsi="Times New Roman" w:eastAsia="宋体"/>
              <w:sz w:val="21"/>
            </w:rPr>
            <w:t>基准地价</w:t>
          </w:r>
          <w:r>
            <w:rPr>
              <w:rFonts w:hint="eastAsia" w:ascii="Times New Roman" w:hAnsi="Times New Roman" w:eastAsia="宋体"/>
              <w:sz w:val="21"/>
              <w:lang w:val="en-US" w:eastAsia="zh-CN"/>
            </w:rPr>
            <w:t>区域因素修正体系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_Toc29762 \h </w:instrText>
          </w:r>
          <w:r>
            <w:rPr>
              <w:rFonts w:ascii="Times New Roman" w:hAnsi="Times New Roman" w:eastAsia="宋体"/>
              <w:sz w:val="21"/>
            </w:rPr>
            <w:fldChar w:fldCharType="separate"/>
          </w:r>
          <w:r>
            <w:rPr>
              <w:rFonts w:ascii="Times New Roman" w:hAnsi="Times New Roman" w:eastAsia="宋体"/>
              <w:sz w:val="21"/>
            </w:rPr>
            <w:t>4</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_Toc16847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2.商业服务业用地</w:t>
          </w:r>
          <w:r>
            <w:rPr>
              <w:rFonts w:hint="eastAsia" w:ascii="Times New Roman" w:hAnsi="Times New Roman" w:eastAsia="宋体"/>
              <w:sz w:val="21"/>
            </w:rPr>
            <w:t>基准地价个别因素修正体系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_Toc16847 \h </w:instrText>
          </w:r>
          <w:r>
            <w:rPr>
              <w:rFonts w:ascii="Times New Roman" w:hAnsi="Times New Roman" w:eastAsia="宋体"/>
              <w:sz w:val="21"/>
            </w:rPr>
            <w:fldChar w:fldCharType="separate"/>
          </w:r>
          <w:r>
            <w:rPr>
              <w:rFonts w:ascii="Times New Roman" w:hAnsi="Times New Roman" w:eastAsia="宋体"/>
              <w:sz w:val="21"/>
            </w:rPr>
            <w:t>14</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_Toc18523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（二）居住用地</w:t>
          </w:r>
          <w:r>
            <w:rPr>
              <w:rFonts w:hint="eastAsia" w:ascii="Times New Roman" w:hAnsi="Times New Roman" w:eastAsia="宋体"/>
              <w:sz w:val="21"/>
            </w:rPr>
            <w:t>基准地价修正体系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_Toc18523 \h </w:instrText>
          </w:r>
          <w:r>
            <w:rPr>
              <w:rFonts w:ascii="Times New Roman" w:hAnsi="Times New Roman" w:eastAsia="宋体"/>
              <w:sz w:val="21"/>
            </w:rPr>
            <w:fldChar w:fldCharType="separate"/>
          </w:r>
          <w:r>
            <w:rPr>
              <w:rFonts w:ascii="Times New Roman" w:hAnsi="Times New Roman" w:eastAsia="宋体"/>
              <w:sz w:val="21"/>
            </w:rPr>
            <w:t>18</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_Toc10063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1.居住用地</w:t>
          </w:r>
          <w:r>
            <w:rPr>
              <w:rFonts w:hint="eastAsia" w:ascii="Times New Roman" w:hAnsi="Times New Roman" w:eastAsia="宋体"/>
              <w:sz w:val="21"/>
            </w:rPr>
            <w:t>基准地价</w:t>
          </w:r>
          <w:r>
            <w:rPr>
              <w:rFonts w:hint="eastAsia" w:ascii="Times New Roman" w:hAnsi="Times New Roman" w:eastAsia="宋体"/>
              <w:sz w:val="21"/>
              <w:lang w:val="en-US" w:eastAsia="zh-CN"/>
            </w:rPr>
            <w:t>区域因素修正体系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_Toc10063 \h </w:instrText>
          </w:r>
          <w:r>
            <w:rPr>
              <w:rFonts w:ascii="Times New Roman" w:hAnsi="Times New Roman" w:eastAsia="宋体"/>
              <w:sz w:val="21"/>
            </w:rPr>
            <w:fldChar w:fldCharType="separate"/>
          </w:r>
          <w:r>
            <w:rPr>
              <w:rFonts w:ascii="Times New Roman" w:hAnsi="Times New Roman" w:eastAsia="宋体"/>
              <w:sz w:val="21"/>
            </w:rPr>
            <w:t>18</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_Toc12823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2.居住用地</w:t>
          </w:r>
          <w:r>
            <w:rPr>
              <w:rFonts w:hint="eastAsia" w:ascii="Times New Roman" w:hAnsi="Times New Roman" w:eastAsia="宋体"/>
              <w:sz w:val="21"/>
            </w:rPr>
            <w:t>基准地价个别因素修正体系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_Toc12823 \h </w:instrText>
          </w:r>
          <w:r>
            <w:rPr>
              <w:rFonts w:ascii="Times New Roman" w:hAnsi="Times New Roman" w:eastAsia="宋体"/>
              <w:sz w:val="21"/>
            </w:rPr>
            <w:fldChar w:fldCharType="separate"/>
          </w:r>
          <w:r>
            <w:rPr>
              <w:rFonts w:ascii="Times New Roman" w:hAnsi="Times New Roman" w:eastAsia="宋体"/>
              <w:sz w:val="21"/>
            </w:rPr>
            <w:t>28</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_Toc23683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（三）工矿用地</w:t>
          </w:r>
          <w:r>
            <w:rPr>
              <w:rFonts w:hint="eastAsia" w:ascii="Times New Roman" w:hAnsi="Times New Roman" w:eastAsia="宋体"/>
              <w:sz w:val="21"/>
            </w:rPr>
            <w:t>基准地价修正体系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_Toc23683 \h </w:instrText>
          </w:r>
          <w:r>
            <w:rPr>
              <w:rFonts w:ascii="Times New Roman" w:hAnsi="Times New Roman" w:eastAsia="宋体"/>
              <w:sz w:val="21"/>
            </w:rPr>
            <w:fldChar w:fldCharType="separate"/>
          </w:r>
          <w:r>
            <w:rPr>
              <w:rFonts w:ascii="Times New Roman" w:hAnsi="Times New Roman" w:eastAsia="宋体"/>
              <w:sz w:val="21"/>
            </w:rPr>
            <w:t>32</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_Toc30698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1.工矿用地</w:t>
          </w:r>
          <w:r>
            <w:rPr>
              <w:rFonts w:hint="eastAsia" w:ascii="Times New Roman" w:hAnsi="Times New Roman" w:eastAsia="宋体"/>
              <w:sz w:val="21"/>
            </w:rPr>
            <w:t>基准地价</w:t>
          </w:r>
          <w:r>
            <w:rPr>
              <w:rFonts w:hint="eastAsia" w:ascii="Times New Roman" w:hAnsi="Times New Roman" w:eastAsia="宋体"/>
              <w:sz w:val="21"/>
              <w:lang w:val="en-US" w:eastAsia="zh-CN"/>
            </w:rPr>
            <w:t>区域因素修正体系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_Toc30698 \h </w:instrText>
          </w:r>
          <w:r>
            <w:rPr>
              <w:rFonts w:ascii="Times New Roman" w:hAnsi="Times New Roman" w:eastAsia="宋体"/>
              <w:sz w:val="21"/>
            </w:rPr>
            <w:fldChar w:fldCharType="separate"/>
          </w:r>
          <w:r>
            <w:rPr>
              <w:rFonts w:ascii="Times New Roman" w:hAnsi="Times New Roman" w:eastAsia="宋体"/>
              <w:sz w:val="21"/>
            </w:rPr>
            <w:t>32</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_Toc9446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2.工矿用地</w:t>
          </w:r>
          <w:r>
            <w:rPr>
              <w:rFonts w:hint="eastAsia" w:ascii="Times New Roman" w:hAnsi="Times New Roman" w:eastAsia="宋体"/>
              <w:sz w:val="21"/>
            </w:rPr>
            <w:t>基准地价个别因素修正体系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_Toc9446 \h </w:instrText>
          </w:r>
          <w:r>
            <w:rPr>
              <w:rFonts w:ascii="Times New Roman" w:hAnsi="Times New Roman" w:eastAsia="宋体"/>
              <w:sz w:val="21"/>
            </w:rPr>
            <w:fldChar w:fldCharType="separate"/>
          </w:r>
          <w:r>
            <w:rPr>
              <w:rFonts w:ascii="Times New Roman" w:hAnsi="Times New Roman" w:eastAsia="宋体"/>
              <w:sz w:val="21"/>
            </w:rPr>
            <w:t>36</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_Toc29387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（四）公共管理与公共服务用地一类</w:t>
          </w:r>
          <w:r>
            <w:rPr>
              <w:rFonts w:hint="eastAsia" w:ascii="Times New Roman" w:hAnsi="Times New Roman" w:eastAsia="宋体"/>
              <w:sz w:val="21"/>
            </w:rPr>
            <w:t>基准地价修正体系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_Toc29387 \h </w:instrText>
          </w:r>
          <w:r>
            <w:rPr>
              <w:rFonts w:ascii="Times New Roman" w:hAnsi="Times New Roman" w:eastAsia="宋体"/>
              <w:sz w:val="21"/>
            </w:rPr>
            <w:fldChar w:fldCharType="separate"/>
          </w:r>
          <w:r>
            <w:rPr>
              <w:rFonts w:ascii="Times New Roman" w:hAnsi="Times New Roman" w:eastAsia="宋体"/>
              <w:sz w:val="21"/>
            </w:rPr>
            <w:t>38</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_Toc21311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1.公共管理与公共服务用地一类</w:t>
          </w:r>
          <w:r>
            <w:rPr>
              <w:rFonts w:hint="eastAsia" w:ascii="Times New Roman" w:hAnsi="Times New Roman" w:eastAsia="宋体"/>
              <w:sz w:val="21"/>
            </w:rPr>
            <w:t>基准地价</w:t>
          </w:r>
          <w:r>
            <w:rPr>
              <w:rFonts w:hint="eastAsia" w:ascii="Times New Roman" w:hAnsi="Times New Roman" w:eastAsia="宋体"/>
              <w:sz w:val="21"/>
              <w:lang w:val="en-US" w:eastAsia="zh-CN"/>
            </w:rPr>
            <w:t>区域因素修正体系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_Toc21311 \h </w:instrText>
          </w:r>
          <w:r>
            <w:rPr>
              <w:rFonts w:ascii="Times New Roman" w:hAnsi="Times New Roman" w:eastAsia="宋体"/>
              <w:sz w:val="21"/>
            </w:rPr>
            <w:fldChar w:fldCharType="separate"/>
          </w:r>
          <w:r>
            <w:rPr>
              <w:rFonts w:ascii="Times New Roman" w:hAnsi="Times New Roman" w:eastAsia="宋体"/>
              <w:sz w:val="21"/>
            </w:rPr>
            <w:t>38</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_Toc14704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2.公共管理与公共服务用地一类</w:t>
          </w:r>
          <w:r>
            <w:rPr>
              <w:rFonts w:hint="eastAsia" w:ascii="Times New Roman" w:hAnsi="Times New Roman" w:eastAsia="宋体"/>
              <w:sz w:val="21"/>
            </w:rPr>
            <w:t>基准地价个别因素修正体系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_Toc14704 \h </w:instrText>
          </w:r>
          <w:r>
            <w:rPr>
              <w:rFonts w:ascii="Times New Roman" w:hAnsi="Times New Roman" w:eastAsia="宋体"/>
              <w:sz w:val="21"/>
            </w:rPr>
            <w:fldChar w:fldCharType="separate"/>
          </w:r>
          <w:r>
            <w:rPr>
              <w:rFonts w:ascii="Times New Roman" w:hAnsi="Times New Roman" w:eastAsia="宋体"/>
              <w:sz w:val="21"/>
            </w:rPr>
            <w:t>44</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_Toc32354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（五）公共管理与公共服务用地二类</w:t>
          </w:r>
          <w:r>
            <w:rPr>
              <w:rFonts w:hint="eastAsia" w:ascii="Times New Roman" w:hAnsi="Times New Roman" w:eastAsia="宋体"/>
              <w:sz w:val="21"/>
            </w:rPr>
            <w:t>基准地价修正体系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_Toc32354 \h </w:instrText>
          </w:r>
          <w:r>
            <w:rPr>
              <w:rFonts w:ascii="Times New Roman" w:hAnsi="Times New Roman" w:eastAsia="宋体"/>
              <w:sz w:val="21"/>
            </w:rPr>
            <w:fldChar w:fldCharType="separate"/>
          </w:r>
          <w:r>
            <w:rPr>
              <w:rFonts w:ascii="Times New Roman" w:hAnsi="Times New Roman" w:eastAsia="宋体"/>
              <w:sz w:val="21"/>
            </w:rPr>
            <w:t>47</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_Toc24169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1.公共管理与公共服务用地二类</w:t>
          </w:r>
          <w:r>
            <w:rPr>
              <w:rFonts w:hint="eastAsia" w:ascii="Times New Roman" w:hAnsi="Times New Roman" w:eastAsia="宋体"/>
              <w:sz w:val="21"/>
            </w:rPr>
            <w:t>基准地价</w:t>
          </w:r>
          <w:r>
            <w:rPr>
              <w:rFonts w:hint="eastAsia" w:ascii="Times New Roman" w:hAnsi="Times New Roman" w:eastAsia="宋体"/>
              <w:sz w:val="21"/>
              <w:lang w:val="en-US" w:eastAsia="zh-CN"/>
            </w:rPr>
            <w:t>区域因素修正体系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_Toc24169 \h </w:instrText>
          </w:r>
          <w:r>
            <w:rPr>
              <w:rFonts w:ascii="Times New Roman" w:hAnsi="Times New Roman" w:eastAsia="宋体"/>
              <w:sz w:val="21"/>
            </w:rPr>
            <w:fldChar w:fldCharType="separate"/>
          </w:r>
          <w:r>
            <w:rPr>
              <w:rFonts w:ascii="Times New Roman" w:hAnsi="Times New Roman" w:eastAsia="宋体"/>
              <w:sz w:val="21"/>
            </w:rPr>
            <w:t>47</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rPr>
              <w:rFonts w:ascii="Times New Roman" w:hAnsi="Times New Roman" w:eastAsia="宋体"/>
              <w:sz w:val="21"/>
            </w:rPr>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_Toc12656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2.公共管理与公共服务用地二类</w:t>
          </w:r>
          <w:r>
            <w:rPr>
              <w:rFonts w:hint="eastAsia" w:ascii="Times New Roman" w:hAnsi="Times New Roman" w:eastAsia="宋体"/>
              <w:sz w:val="21"/>
            </w:rPr>
            <w:t>基准地价个别因素修正体系</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_Toc12656 \h </w:instrText>
          </w:r>
          <w:r>
            <w:rPr>
              <w:rFonts w:ascii="Times New Roman" w:hAnsi="Times New Roman" w:eastAsia="宋体"/>
              <w:sz w:val="21"/>
            </w:rPr>
            <w:fldChar w:fldCharType="separate"/>
          </w:r>
          <w:r>
            <w:rPr>
              <w:rFonts w:ascii="Times New Roman" w:hAnsi="Times New Roman" w:eastAsia="宋体"/>
              <w:sz w:val="21"/>
            </w:rPr>
            <w:t>52</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val="0"/>
            <w:snapToGrid w:val="0"/>
            <w:spacing w:line="400" w:lineRule="exact"/>
            <w:ind w:firstLine="0" w:firstLineChars="0"/>
            <w:textAlignment w:val="auto"/>
          </w:pPr>
          <w:r>
            <w:rPr>
              <w:rFonts w:hint="eastAsia" w:ascii="Times New Roman" w:hAnsi="Times New Roman" w:eastAsia="宋体" w:cs="方正仿宋_GB2312"/>
              <w:sz w:val="21"/>
              <w:szCs w:val="21"/>
            </w:rPr>
            <w:fldChar w:fldCharType="begin"/>
          </w:r>
          <w:r>
            <w:rPr>
              <w:rFonts w:hint="eastAsia" w:ascii="Times New Roman" w:hAnsi="Times New Roman" w:eastAsia="宋体" w:cs="方正仿宋_GB2312"/>
              <w:sz w:val="21"/>
              <w:szCs w:val="21"/>
            </w:rPr>
            <w:instrText xml:space="preserve"> HYPERLINK \l _Toc8184 </w:instrText>
          </w:r>
          <w:r>
            <w:rPr>
              <w:rFonts w:hint="eastAsia" w:ascii="Times New Roman" w:hAnsi="Times New Roman" w:eastAsia="宋体" w:cs="方正仿宋_GB2312"/>
              <w:sz w:val="21"/>
              <w:szCs w:val="21"/>
            </w:rPr>
            <w:fldChar w:fldCharType="separate"/>
          </w:r>
          <w:r>
            <w:rPr>
              <w:rFonts w:hint="eastAsia" w:ascii="Times New Roman" w:hAnsi="Times New Roman" w:eastAsia="宋体"/>
              <w:sz w:val="21"/>
              <w:lang w:val="en-US" w:eastAsia="zh-CN"/>
            </w:rPr>
            <w:t>三、标定地价</w:t>
          </w:r>
          <w:r>
            <w:rPr>
              <w:rFonts w:ascii="Times New Roman" w:hAnsi="Times New Roman" w:eastAsia="宋体"/>
              <w:sz w:val="21"/>
            </w:rPr>
            <w:tab/>
          </w:r>
          <w:r>
            <w:rPr>
              <w:rFonts w:ascii="Times New Roman" w:hAnsi="Times New Roman" w:eastAsia="宋体"/>
              <w:sz w:val="21"/>
            </w:rPr>
            <w:fldChar w:fldCharType="begin"/>
          </w:r>
          <w:r>
            <w:rPr>
              <w:rFonts w:ascii="Times New Roman" w:hAnsi="Times New Roman" w:eastAsia="宋体"/>
              <w:sz w:val="21"/>
            </w:rPr>
            <w:instrText xml:space="preserve"> PAGEREF _Toc8184 \h </w:instrText>
          </w:r>
          <w:r>
            <w:rPr>
              <w:rFonts w:ascii="Times New Roman" w:hAnsi="Times New Roman" w:eastAsia="宋体"/>
              <w:sz w:val="21"/>
            </w:rPr>
            <w:fldChar w:fldCharType="separate"/>
          </w:r>
          <w:r>
            <w:rPr>
              <w:rFonts w:ascii="Times New Roman" w:hAnsi="Times New Roman" w:eastAsia="宋体"/>
              <w:sz w:val="21"/>
            </w:rPr>
            <w:t>54</w:t>
          </w:r>
          <w:r>
            <w:rPr>
              <w:rFonts w:ascii="Times New Roman" w:hAnsi="Times New Roman" w:eastAsia="宋体"/>
              <w:sz w:val="21"/>
            </w:rPr>
            <w:fldChar w:fldCharType="end"/>
          </w:r>
          <w:r>
            <w:rPr>
              <w:rFonts w:hint="eastAsia" w:ascii="Times New Roman" w:hAnsi="Times New Roman" w:eastAsia="宋体" w:cs="方正仿宋_GB2312"/>
              <w:sz w:val="21"/>
              <w:szCs w:val="21"/>
            </w:rPr>
            <w:fldChar w:fldCharType="end"/>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pPr>
          <w:r>
            <w:rPr>
              <w:rFonts w:hint="eastAsia" w:ascii="方正仿宋_GB2312" w:hAnsi="方正仿宋_GB2312" w:eastAsia="方正仿宋_GB2312" w:cs="方正仿宋_GB2312"/>
              <w:sz w:val="21"/>
              <w:szCs w:val="21"/>
            </w:rPr>
            <w:fldChar w:fldCharType="end"/>
          </w:r>
        </w:p>
      </w:sdtContent>
    </w:sdt>
    <w:p>
      <w:pPr>
        <w:pStyle w:val="2"/>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pPr>
        <w:pStyle w:val="3"/>
        <w:bidi w:val="0"/>
        <w:rPr>
          <w:rFonts w:hint="eastAsia"/>
          <w:lang w:val="en-US" w:eastAsia="zh-CN"/>
        </w:rPr>
      </w:pPr>
      <w:bookmarkStart w:id="4" w:name="_Toc23261"/>
      <w:r>
        <w:rPr>
          <w:rFonts w:hint="eastAsia"/>
          <w:lang w:val="en-US" w:eastAsia="zh-CN"/>
        </w:rPr>
        <w:t>一、城区基准地价</w:t>
      </w:r>
      <w:bookmarkEnd w:id="4"/>
    </w:p>
    <w:p>
      <w:pPr>
        <w:pStyle w:val="4"/>
        <w:bidi w:val="0"/>
        <w:rPr>
          <w:rFonts w:hint="eastAsia"/>
          <w:lang w:val="en-US" w:eastAsia="zh-CN"/>
        </w:rPr>
      </w:pPr>
      <w:bookmarkStart w:id="5" w:name="_Toc17771"/>
      <w:r>
        <w:rPr>
          <w:rFonts w:hint="eastAsia"/>
          <w:lang w:val="en-US" w:eastAsia="zh-CN"/>
        </w:rPr>
        <w:t>（一）基准地价内涵</w:t>
      </w:r>
      <w:bookmarkEnd w:id="5"/>
    </w:p>
    <w:p>
      <w:pPr>
        <w:pStyle w:val="27"/>
        <w:bidi w:val="0"/>
        <w:rPr>
          <w:rFonts w:hint="eastAsia"/>
          <w:lang w:val="en-US" w:eastAsia="zh-CN"/>
        </w:rPr>
      </w:pPr>
      <w:bookmarkStart w:id="6" w:name="_Hlk532930567"/>
      <w:r>
        <w:rPr>
          <w:rFonts w:hint="eastAsia"/>
          <w:lang w:val="en-US" w:eastAsia="zh-CN"/>
        </w:rPr>
        <w:t>表1-1 本轮随州市城区基准地价内涵表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03"/>
        <w:gridCol w:w="1986"/>
        <w:gridCol w:w="2275"/>
        <w:gridCol w:w="1135"/>
        <w:gridCol w:w="1264"/>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tblHeader/>
          <w:jc w:val="center"/>
        </w:trPr>
        <w:tc>
          <w:tcPr>
            <w:tcW w:w="1403"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土地用途</w:t>
            </w:r>
          </w:p>
        </w:tc>
        <w:tc>
          <w:tcPr>
            <w:tcW w:w="1986"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估价期日</w:t>
            </w:r>
          </w:p>
        </w:tc>
        <w:tc>
          <w:tcPr>
            <w:tcW w:w="2275"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土地使用权类型</w:t>
            </w:r>
          </w:p>
        </w:tc>
        <w:tc>
          <w:tcPr>
            <w:tcW w:w="1135"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土地使用年期</w:t>
            </w:r>
          </w:p>
        </w:tc>
        <w:tc>
          <w:tcPr>
            <w:tcW w:w="1264"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开发程度</w:t>
            </w:r>
          </w:p>
        </w:tc>
        <w:tc>
          <w:tcPr>
            <w:tcW w:w="1008" w:type="dxa"/>
            <w:shd w:val="clear" w:color="auto" w:fill="BEBEBE" w:themeFill="background1" w:themeFillShade="BF"/>
            <w:vAlign w:val="center"/>
          </w:tcPr>
          <w:p>
            <w:pPr>
              <w:pStyle w:val="26"/>
              <w:bidi w:val="0"/>
              <w:rPr>
                <w:rFonts w:hint="default"/>
                <w:b/>
                <w:bCs/>
                <w:lang w:val="en-US" w:eastAsia="zh-CN"/>
              </w:rPr>
            </w:pPr>
            <w:r>
              <w:rPr>
                <w:rFonts w:hint="default"/>
                <w:b/>
                <w:bCs/>
                <w:lang w:val="en-US" w:eastAsia="zh-CN"/>
              </w:rPr>
              <w:t>平均容积率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403" w:type="dxa"/>
            <w:shd w:val="clear" w:color="auto" w:fill="auto"/>
            <w:vAlign w:val="center"/>
          </w:tcPr>
          <w:p>
            <w:pPr>
              <w:pStyle w:val="26"/>
              <w:bidi w:val="0"/>
              <w:rPr>
                <w:rFonts w:hint="default"/>
                <w:lang w:val="en-US" w:eastAsia="zh-CN"/>
              </w:rPr>
            </w:pPr>
            <w:r>
              <w:rPr>
                <w:rFonts w:hint="eastAsia"/>
                <w:lang w:val="en-US" w:eastAsia="zh-CN"/>
              </w:rPr>
              <w:t>商业服务业用地</w:t>
            </w:r>
          </w:p>
        </w:tc>
        <w:tc>
          <w:tcPr>
            <w:tcW w:w="1986" w:type="dxa"/>
            <w:shd w:val="clear" w:color="auto" w:fill="auto"/>
            <w:vAlign w:val="center"/>
          </w:tcPr>
          <w:p>
            <w:pPr>
              <w:pStyle w:val="26"/>
              <w:bidi w:val="0"/>
              <w:rPr>
                <w:rFonts w:hint="default"/>
                <w:lang w:val="en-US" w:eastAsia="zh-CN"/>
              </w:rPr>
            </w:pPr>
            <w:r>
              <w:rPr>
                <w:rFonts w:hint="eastAsia"/>
                <w:lang w:val="en-US" w:eastAsia="zh-CN"/>
              </w:rPr>
              <w:t>2023年6月30日</w:t>
            </w:r>
          </w:p>
        </w:tc>
        <w:tc>
          <w:tcPr>
            <w:tcW w:w="2275" w:type="dxa"/>
            <w:shd w:val="clear" w:color="auto" w:fill="auto"/>
            <w:vAlign w:val="center"/>
          </w:tcPr>
          <w:p>
            <w:pPr>
              <w:pStyle w:val="26"/>
              <w:bidi w:val="0"/>
              <w:rPr>
                <w:rFonts w:hint="default"/>
                <w:lang w:val="en-US" w:eastAsia="zh-CN"/>
              </w:rPr>
            </w:pPr>
            <w:r>
              <w:rPr>
                <w:rFonts w:hint="eastAsia"/>
                <w:lang w:val="en-US" w:eastAsia="zh-CN"/>
              </w:rPr>
              <w:t>出让国有建设用地使用权</w:t>
            </w:r>
          </w:p>
        </w:tc>
        <w:tc>
          <w:tcPr>
            <w:tcW w:w="1135" w:type="dxa"/>
            <w:shd w:val="clear" w:color="auto" w:fill="auto"/>
            <w:vAlign w:val="center"/>
          </w:tcPr>
          <w:p>
            <w:pPr>
              <w:pStyle w:val="26"/>
              <w:bidi w:val="0"/>
              <w:rPr>
                <w:rFonts w:hint="default"/>
                <w:lang w:val="en-US" w:eastAsia="zh-CN"/>
              </w:rPr>
            </w:pPr>
            <w:r>
              <w:rPr>
                <w:rFonts w:hint="eastAsia"/>
                <w:lang w:val="en-US" w:eastAsia="zh-CN"/>
              </w:rPr>
              <w:t>40年</w:t>
            </w:r>
          </w:p>
        </w:tc>
        <w:tc>
          <w:tcPr>
            <w:tcW w:w="1264" w:type="dxa"/>
            <w:shd w:val="clear" w:color="auto" w:fill="auto"/>
            <w:vAlign w:val="center"/>
          </w:tcPr>
          <w:p>
            <w:pPr>
              <w:pStyle w:val="26"/>
              <w:bidi w:val="0"/>
              <w:rPr>
                <w:rFonts w:hint="default"/>
                <w:lang w:val="en-US" w:eastAsia="zh-CN"/>
              </w:rPr>
            </w:pPr>
            <w:r>
              <w:rPr>
                <w:rFonts w:hint="eastAsia"/>
                <w:lang w:val="en-US" w:eastAsia="zh-CN"/>
              </w:rPr>
              <w:t>六通一平</w:t>
            </w:r>
          </w:p>
        </w:tc>
        <w:tc>
          <w:tcPr>
            <w:tcW w:w="1008" w:type="dxa"/>
            <w:shd w:val="clear" w:color="auto" w:fill="auto"/>
            <w:vAlign w:val="center"/>
          </w:tcPr>
          <w:p>
            <w:pPr>
              <w:pStyle w:val="26"/>
              <w:bidi w:val="0"/>
              <w:rPr>
                <w:rFonts w:hint="default"/>
                <w:lang w:val="en-US" w:eastAsia="zh-CN"/>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403" w:type="dxa"/>
            <w:shd w:val="clear" w:color="auto" w:fill="auto"/>
            <w:vAlign w:val="center"/>
          </w:tcPr>
          <w:p>
            <w:pPr>
              <w:pStyle w:val="26"/>
              <w:bidi w:val="0"/>
              <w:rPr>
                <w:rFonts w:hint="default"/>
                <w:lang w:val="en-US" w:eastAsia="zh-CN"/>
              </w:rPr>
            </w:pPr>
            <w:r>
              <w:rPr>
                <w:rFonts w:hint="eastAsia"/>
                <w:lang w:val="en-US" w:eastAsia="zh-CN"/>
              </w:rPr>
              <w:t>居住用地</w:t>
            </w:r>
          </w:p>
        </w:tc>
        <w:tc>
          <w:tcPr>
            <w:tcW w:w="1986" w:type="dxa"/>
            <w:shd w:val="clear" w:color="auto" w:fill="auto"/>
            <w:vAlign w:val="center"/>
          </w:tcPr>
          <w:p>
            <w:pPr>
              <w:pStyle w:val="26"/>
              <w:bidi w:val="0"/>
              <w:rPr>
                <w:rFonts w:hint="default"/>
              </w:rPr>
            </w:pPr>
            <w:r>
              <w:rPr>
                <w:rFonts w:hint="eastAsia"/>
                <w:lang w:val="en-US" w:eastAsia="zh-CN"/>
              </w:rPr>
              <w:t>2023年6月30日</w:t>
            </w:r>
          </w:p>
        </w:tc>
        <w:tc>
          <w:tcPr>
            <w:tcW w:w="2275" w:type="dxa"/>
            <w:shd w:val="clear" w:color="auto" w:fill="auto"/>
            <w:vAlign w:val="center"/>
          </w:tcPr>
          <w:p>
            <w:pPr>
              <w:pStyle w:val="26"/>
              <w:bidi w:val="0"/>
              <w:rPr>
                <w:rFonts w:hint="default"/>
              </w:rPr>
            </w:pPr>
            <w:r>
              <w:rPr>
                <w:rFonts w:hint="eastAsia"/>
                <w:lang w:val="en-US" w:eastAsia="zh-CN"/>
              </w:rPr>
              <w:t>出让国有建设用地使用权</w:t>
            </w:r>
          </w:p>
        </w:tc>
        <w:tc>
          <w:tcPr>
            <w:tcW w:w="1135" w:type="dxa"/>
            <w:shd w:val="clear" w:color="auto" w:fill="auto"/>
            <w:vAlign w:val="center"/>
          </w:tcPr>
          <w:p>
            <w:pPr>
              <w:pStyle w:val="26"/>
              <w:bidi w:val="0"/>
              <w:rPr>
                <w:rFonts w:hint="default"/>
                <w:lang w:val="en-US" w:eastAsia="zh-CN"/>
              </w:rPr>
            </w:pPr>
            <w:r>
              <w:rPr>
                <w:rFonts w:hint="eastAsia"/>
                <w:lang w:val="en-US" w:eastAsia="zh-CN"/>
              </w:rPr>
              <w:t>70年</w:t>
            </w:r>
          </w:p>
        </w:tc>
        <w:tc>
          <w:tcPr>
            <w:tcW w:w="1264" w:type="dxa"/>
            <w:shd w:val="clear" w:color="auto" w:fill="auto"/>
            <w:vAlign w:val="center"/>
          </w:tcPr>
          <w:p>
            <w:pPr>
              <w:pStyle w:val="26"/>
              <w:bidi w:val="0"/>
              <w:rPr>
                <w:rFonts w:hint="default"/>
              </w:rPr>
            </w:pPr>
            <w:r>
              <w:rPr>
                <w:rFonts w:hint="eastAsia"/>
                <w:lang w:val="en-US" w:eastAsia="zh-CN"/>
              </w:rPr>
              <w:t>六通一平</w:t>
            </w:r>
          </w:p>
        </w:tc>
        <w:tc>
          <w:tcPr>
            <w:tcW w:w="1008" w:type="dxa"/>
            <w:shd w:val="clear" w:color="auto" w:fill="auto"/>
            <w:vAlign w:val="center"/>
          </w:tcPr>
          <w:p>
            <w:pPr>
              <w:pStyle w:val="26"/>
              <w:bidi w:val="0"/>
              <w:rPr>
                <w:rFonts w:hint="default"/>
                <w:lang w:val="en-US" w:eastAsia="zh-CN"/>
              </w:rPr>
            </w:pPr>
            <w:r>
              <w:rPr>
                <w:rFonts w:hint="eastAsia"/>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03" w:type="dxa"/>
            <w:shd w:val="clear" w:color="auto" w:fill="auto"/>
            <w:vAlign w:val="center"/>
          </w:tcPr>
          <w:p>
            <w:pPr>
              <w:pStyle w:val="26"/>
              <w:bidi w:val="0"/>
              <w:rPr>
                <w:rFonts w:hint="eastAsia"/>
                <w:lang w:val="en-US" w:eastAsia="zh-CN"/>
              </w:rPr>
            </w:pPr>
            <w:r>
              <w:rPr>
                <w:rFonts w:hint="eastAsia"/>
                <w:lang w:val="en-US" w:eastAsia="zh-CN"/>
              </w:rPr>
              <w:t>工矿用地</w:t>
            </w:r>
          </w:p>
        </w:tc>
        <w:tc>
          <w:tcPr>
            <w:tcW w:w="1986" w:type="dxa"/>
            <w:shd w:val="clear" w:color="auto" w:fill="auto"/>
            <w:vAlign w:val="center"/>
          </w:tcPr>
          <w:p>
            <w:pPr>
              <w:pStyle w:val="26"/>
              <w:bidi w:val="0"/>
              <w:rPr>
                <w:rFonts w:hint="default"/>
              </w:rPr>
            </w:pPr>
            <w:r>
              <w:rPr>
                <w:rFonts w:hint="eastAsia"/>
                <w:lang w:val="en-US" w:eastAsia="zh-CN"/>
              </w:rPr>
              <w:t>2023年6月30日</w:t>
            </w:r>
          </w:p>
        </w:tc>
        <w:tc>
          <w:tcPr>
            <w:tcW w:w="2275" w:type="dxa"/>
            <w:shd w:val="clear" w:color="auto" w:fill="auto"/>
            <w:vAlign w:val="center"/>
          </w:tcPr>
          <w:p>
            <w:pPr>
              <w:pStyle w:val="26"/>
              <w:bidi w:val="0"/>
              <w:rPr>
                <w:rFonts w:hint="default"/>
              </w:rPr>
            </w:pPr>
            <w:r>
              <w:rPr>
                <w:rFonts w:hint="eastAsia"/>
                <w:lang w:val="en-US" w:eastAsia="zh-CN"/>
              </w:rPr>
              <w:t>出让国有建设用地使用权</w:t>
            </w:r>
          </w:p>
        </w:tc>
        <w:tc>
          <w:tcPr>
            <w:tcW w:w="1135" w:type="dxa"/>
            <w:shd w:val="clear" w:color="auto" w:fill="auto"/>
            <w:vAlign w:val="center"/>
          </w:tcPr>
          <w:p>
            <w:pPr>
              <w:pStyle w:val="26"/>
              <w:bidi w:val="0"/>
              <w:rPr>
                <w:rFonts w:hint="default"/>
                <w:lang w:val="en-US" w:eastAsia="zh-CN"/>
              </w:rPr>
            </w:pPr>
            <w:r>
              <w:rPr>
                <w:rFonts w:hint="eastAsia"/>
                <w:lang w:val="en-US" w:eastAsia="zh-CN"/>
              </w:rPr>
              <w:t>50年</w:t>
            </w:r>
          </w:p>
        </w:tc>
        <w:tc>
          <w:tcPr>
            <w:tcW w:w="1264" w:type="dxa"/>
            <w:shd w:val="clear" w:color="auto" w:fill="auto"/>
            <w:vAlign w:val="center"/>
          </w:tcPr>
          <w:p>
            <w:pPr>
              <w:pStyle w:val="26"/>
              <w:bidi w:val="0"/>
              <w:rPr>
                <w:rFonts w:hint="eastAsia"/>
                <w:lang w:val="en-US" w:eastAsia="zh-CN"/>
              </w:rPr>
            </w:pPr>
            <w:r>
              <w:rPr>
                <w:rFonts w:hint="eastAsia"/>
                <w:lang w:val="en-US" w:eastAsia="zh-CN"/>
              </w:rPr>
              <w:t>五通一平</w:t>
            </w:r>
          </w:p>
        </w:tc>
        <w:tc>
          <w:tcPr>
            <w:tcW w:w="1008" w:type="dxa"/>
            <w:shd w:val="clear" w:color="auto" w:fill="auto"/>
            <w:vAlign w:val="center"/>
          </w:tcPr>
          <w:p>
            <w:pPr>
              <w:pStyle w:val="26"/>
              <w:bidi w:val="0"/>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403" w:type="dxa"/>
            <w:shd w:val="clear" w:color="auto" w:fill="auto"/>
            <w:vAlign w:val="center"/>
          </w:tcPr>
          <w:p>
            <w:pPr>
              <w:pStyle w:val="26"/>
              <w:bidi w:val="0"/>
              <w:rPr>
                <w:rFonts w:hint="default"/>
                <w:lang w:val="en-US" w:eastAsia="zh-CN"/>
              </w:rPr>
            </w:pPr>
            <w:r>
              <w:rPr>
                <w:rFonts w:hint="eastAsia"/>
                <w:lang w:val="en-US" w:eastAsia="zh-CN"/>
              </w:rPr>
              <w:t>公共管理与公共服务用地一类</w:t>
            </w:r>
          </w:p>
        </w:tc>
        <w:tc>
          <w:tcPr>
            <w:tcW w:w="1986" w:type="dxa"/>
            <w:shd w:val="clear" w:color="auto" w:fill="auto"/>
            <w:vAlign w:val="center"/>
          </w:tcPr>
          <w:p>
            <w:pPr>
              <w:pStyle w:val="26"/>
              <w:bidi w:val="0"/>
              <w:rPr>
                <w:rFonts w:hint="default"/>
              </w:rPr>
            </w:pPr>
            <w:r>
              <w:rPr>
                <w:rFonts w:hint="eastAsia"/>
                <w:lang w:val="en-US" w:eastAsia="zh-CN"/>
              </w:rPr>
              <w:t>2023年6月30日</w:t>
            </w:r>
          </w:p>
        </w:tc>
        <w:tc>
          <w:tcPr>
            <w:tcW w:w="2275" w:type="dxa"/>
            <w:shd w:val="clear" w:color="auto" w:fill="auto"/>
            <w:vAlign w:val="center"/>
          </w:tcPr>
          <w:p>
            <w:pPr>
              <w:pStyle w:val="26"/>
              <w:bidi w:val="0"/>
              <w:rPr>
                <w:rFonts w:hint="default"/>
              </w:rPr>
            </w:pPr>
            <w:r>
              <w:rPr>
                <w:rFonts w:hint="eastAsia"/>
                <w:lang w:val="en-US" w:eastAsia="zh-CN"/>
              </w:rPr>
              <w:t>出让国有建设用地使用权</w:t>
            </w:r>
          </w:p>
        </w:tc>
        <w:tc>
          <w:tcPr>
            <w:tcW w:w="1135" w:type="dxa"/>
            <w:shd w:val="clear" w:color="auto" w:fill="auto"/>
            <w:vAlign w:val="center"/>
          </w:tcPr>
          <w:p>
            <w:pPr>
              <w:pStyle w:val="26"/>
              <w:bidi w:val="0"/>
              <w:rPr>
                <w:rFonts w:hint="default"/>
                <w:lang w:val="en-US" w:eastAsia="zh-CN"/>
              </w:rPr>
            </w:pPr>
            <w:r>
              <w:rPr>
                <w:rFonts w:hint="eastAsia"/>
                <w:lang w:val="en-US" w:eastAsia="zh-CN"/>
              </w:rPr>
              <w:t>50年</w:t>
            </w:r>
          </w:p>
        </w:tc>
        <w:tc>
          <w:tcPr>
            <w:tcW w:w="1264" w:type="dxa"/>
            <w:shd w:val="clear" w:color="auto" w:fill="auto"/>
            <w:vAlign w:val="center"/>
          </w:tcPr>
          <w:p>
            <w:pPr>
              <w:pStyle w:val="26"/>
              <w:bidi w:val="0"/>
              <w:rPr>
                <w:rFonts w:hint="default"/>
              </w:rPr>
            </w:pPr>
            <w:r>
              <w:rPr>
                <w:rFonts w:hint="eastAsia"/>
                <w:lang w:val="en-US" w:eastAsia="zh-CN"/>
              </w:rPr>
              <w:t>六通一平</w:t>
            </w:r>
          </w:p>
        </w:tc>
        <w:tc>
          <w:tcPr>
            <w:tcW w:w="1008" w:type="dxa"/>
            <w:shd w:val="clear" w:color="auto" w:fill="auto"/>
            <w:vAlign w:val="center"/>
          </w:tcPr>
          <w:p>
            <w:pPr>
              <w:pStyle w:val="26"/>
              <w:bidi w:val="0"/>
              <w:rPr>
                <w:rFonts w:hint="default"/>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03" w:type="dxa"/>
            <w:shd w:val="clear" w:color="auto" w:fill="auto"/>
            <w:vAlign w:val="center"/>
          </w:tcPr>
          <w:p>
            <w:pPr>
              <w:pStyle w:val="26"/>
              <w:bidi w:val="0"/>
              <w:rPr>
                <w:rFonts w:hint="eastAsia"/>
                <w:lang w:val="en-US" w:eastAsia="zh-CN"/>
              </w:rPr>
            </w:pPr>
            <w:r>
              <w:rPr>
                <w:rFonts w:hint="eastAsia"/>
                <w:lang w:val="en-US" w:eastAsia="zh-CN"/>
              </w:rPr>
              <w:t>公共管理与公共服务用地二类</w:t>
            </w:r>
          </w:p>
        </w:tc>
        <w:tc>
          <w:tcPr>
            <w:tcW w:w="1986" w:type="dxa"/>
            <w:shd w:val="clear" w:color="auto" w:fill="auto"/>
            <w:vAlign w:val="center"/>
          </w:tcPr>
          <w:p>
            <w:pPr>
              <w:pStyle w:val="26"/>
              <w:bidi w:val="0"/>
              <w:rPr>
                <w:rFonts w:hint="default"/>
              </w:rPr>
            </w:pPr>
            <w:r>
              <w:rPr>
                <w:rFonts w:hint="eastAsia"/>
                <w:lang w:val="en-US" w:eastAsia="zh-CN"/>
              </w:rPr>
              <w:t>2023年6月30日</w:t>
            </w:r>
          </w:p>
        </w:tc>
        <w:tc>
          <w:tcPr>
            <w:tcW w:w="2275" w:type="dxa"/>
            <w:shd w:val="clear" w:color="auto" w:fill="auto"/>
            <w:vAlign w:val="center"/>
          </w:tcPr>
          <w:p>
            <w:pPr>
              <w:pStyle w:val="26"/>
              <w:bidi w:val="0"/>
              <w:rPr>
                <w:rFonts w:hint="default"/>
              </w:rPr>
            </w:pPr>
            <w:r>
              <w:rPr>
                <w:rFonts w:hint="eastAsia"/>
                <w:lang w:val="en-US" w:eastAsia="zh-CN"/>
              </w:rPr>
              <w:t>出让国有建设用地使用权</w:t>
            </w:r>
          </w:p>
        </w:tc>
        <w:tc>
          <w:tcPr>
            <w:tcW w:w="1135" w:type="dxa"/>
            <w:shd w:val="clear" w:color="auto" w:fill="auto"/>
            <w:vAlign w:val="center"/>
          </w:tcPr>
          <w:p>
            <w:pPr>
              <w:pStyle w:val="26"/>
              <w:bidi w:val="0"/>
              <w:rPr>
                <w:rFonts w:hint="default"/>
                <w:lang w:val="en-US" w:eastAsia="zh-CN"/>
              </w:rPr>
            </w:pPr>
            <w:r>
              <w:rPr>
                <w:rFonts w:hint="eastAsia"/>
                <w:lang w:val="en-US" w:eastAsia="zh-CN"/>
              </w:rPr>
              <w:t>50年</w:t>
            </w:r>
          </w:p>
        </w:tc>
        <w:tc>
          <w:tcPr>
            <w:tcW w:w="1264" w:type="dxa"/>
            <w:shd w:val="clear" w:color="auto" w:fill="auto"/>
            <w:vAlign w:val="center"/>
          </w:tcPr>
          <w:p>
            <w:pPr>
              <w:pStyle w:val="26"/>
              <w:bidi w:val="0"/>
              <w:rPr>
                <w:rFonts w:hint="default"/>
              </w:rPr>
            </w:pPr>
            <w:r>
              <w:rPr>
                <w:rFonts w:hint="eastAsia"/>
                <w:lang w:val="en-US" w:eastAsia="zh-CN"/>
              </w:rPr>
              <w:t>五通一平</w:t>
            </w:r>
          </w:p>
        </w:tc>
        <w:tc>
          <w:tcPr>
            <w:tcW w:w="1008" w:type="dxa"/>
            <w:shd w:val="clear" w:color="auto" w:fill="auto"/>
            <w:vAlign w:val="center"/>
          </w:tcPr>
          <w:p>
            <w:pPr>
              <w:pStyle w:val="26"/>
              <w:bidi w:val="0"/>
              <w:rPr>
                <w:rFonts w:hint="default"/>
                <w:lang w:val="en-US" w:eastAsia="zh-CN"/>
              </w:rPr>
            </w:pPr>
            <w:r>
              <w:rPr>
                <w:rFonts w:hint="eastAsia"/>
                <w:lang w:val="en-US" w:eastAsia="zh-CN"/>
              </w:rPr>
              <w:t>1.0</w:t>
            </w:r>
          </w:p>
        </w:tc>
      </w:tr>
      <w:bookmarkEnd w:id="6"/>
    </w:tbl>
    <w:p>
      <w:pPr>
        <w:pStyle w:val="4"/>
        <w:bidi w:val="0"/>
        <w:rPr>
          <w:rFonts w:hint="eastAsia"/>
          <w:lang w:val="en-US" w:eastAsia="zh-CN"/>
        </w:rPr>
      </w:pPr>
      <w:bookmarkStart w:id="7" w:name="_Toc30304"/>
      <w:r>
        <w:rPr>
          <w:rFonts w:hint="eastAsia"/>
          <w:lang w:val="en-US" w:eastAsia="zh-CN"/>
        </w:rPr>
        <w:t>（二）基准地价结果</w:t>
      </w:r>
      <w:bookmarkEnd w:id="7"/>
    </w:p>
    <w:p>
      <w:pPr>
        <w:pStyle w:val="27"/>
        <w:bidi w:val="0"/>
        <w:rPr>
          <w:rFonts w:hint="default"/>
          <w:lang w:val="en-US" w:eastAsia="zh-CN"/>
        </w:rPr>
      </w:pPr>
      <w:r>
        <w:rPr>
          <w:rFonts w:hint="default"/>
          <w:lang w:val="en-US" w:eastAsia="zh-CN"/>
        </w:rPr>
        <w:t>表</w:t>
      </w:r>
      <w:r>
        <w:rPr>
          <w:rFonts w:hint="eastAsia"/>
          <w:lang w:val="en-US" w:eastAsia="zh-CN"/>
        </w:rPr>
        <w:t>1-2</w:t>
      </w:r>
      <w:r>
        <w:rPr>
          <w:rFonts w:hint="default"/>
          <w:lang w:val="en-US" w:eastAsia="zh-CN"/>
        </w:rPr>
        <w:t xml:space="preserve"> 随州市</w:t>
      </w:r>
      <w:r>
        <w:rPr>
          <w:rFonts w:hint="eastAsia"/>
          <w:lang w:val="en-US" w:eastAsia="zh-CN"/>
        </w:rPr>
        <w:t>城区</w:t>
      </w:r>
      <w:r>
        <w:rPr>
          <w:rFonts w:hint="default"/>
          <w:lang w:val="en-US" w:eastAsia="zh-CN"/>
        </w:rPr>
        <w:t>基准地价结果表</w:t>
      </w:r>
    </w:p>
    <w:p>
      <w:pPr>
        <w:pStyle w:val="20"/>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outlineLvl w:val="9"/>
        <w:rPr>
          <w:rFonts w:hint="default" w:ascii="Times New Roman" w:hAnsi="Times New Roman" w:eastAsia="仿宋_GB2312" w:cs="Times New Roman"/>
          <w:sz w:val="18"/>
          <w:lang w:val="en-US" w:eastAsia="zh-CN"/>
        </w:rPr>
      </w:pPr>
      <w:r>
        <w:rPr>
          <w:rFonts w:hint="default" w:ascii="Times New Roman" w:hAnsi="Times New Roman" w:eastAsia="仿宋_GB2312" w:cs="Times New Roman"/>
          <w:b w:val="0"/>
          <w:bCs/>
          <w:sz w:val="18"/>
        </w:rPr>
        <w:t>单位：元/平方米</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79"/>
        <w:gridCol w:w="1278"/>
        <w:gridCol w:w="1278"/>
        <w:gridCol w:w="1278"/>
        <w:gridCol w:w="1279"/>
        <w:gridCol w:w="12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土地用途</w:t>
            </w:r>
          </w:p>
        </w:tc>
        <w:tc>
          <w:tcPr>
            <w:tcW w:w="11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Ⅰ级</w:t>
            </w:r>
          </w:p>
        </w:tc>
        <w:tc>
          <w:tcPr>
            <w:tcW w:w="11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Ⅱ级</w:t>
            </w:r>
          </w:p>
        </w:tc>
        <w:tc>
          <w:tcPr>
            <w:tcW w:w="11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Ⅲ级</w:t>
            </w:r>
          </w:p>
        </w:tc>
        <w:tc>
          <w:tcPr>
            <w:tcW w:w="11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Ⅳ级</w:t>
            </w:r>
          </w:p>
        </w:tc>
        <w:tc>
          <w:tcPr>
            <w:tcW w:w="11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V级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商业服务业用地</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3926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2952</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2128</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1376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居住用地</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2493</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1862</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1374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948</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586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工矿用地</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554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417</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301</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206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公共管理与公共服务用地一类</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1340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1115</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773</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470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2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公共管理与公共服务用地二类</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640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474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331</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215</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204</w:t>
            </w:r>
          </w:p>
        </w:tc>
      </w:tr>
    </w:tbl>
    <w:p>
      <w:pPr>
        <w:pStyle w:val="4"/>
        <w:bidi w:val="0"/>
        <w:rPr>
          <w:rFonts w:hint="eastAsia"/>
          <w:lang w:val="en-US" w:eastAsia="zh-CN"/>
        </w:rPr>
      </w:pPr>
      <w:bookmarkStart w:id="8" w:name="_Toc21849"/>
      <w:r>
        <w:rPr>
          <w:rFonts w:hint="eastAsia"/>
          <w:lang w:val="en-US" w:eastAsia="zh-CN"/>
        </w:rPr>
        <w:t>（三）二级地类衔接系数</w:t>
      </w:r>
      <w:bookmarkEnd w:id="8"/>
    </w:p>
    <w:p>
      <w:pPr>
        <w:pStyle w:val="27"/>
        <w:bidi w:val="0"/>
        <w:rPr>
          <w:rFonts w:hint="eastAsia"/>
          <w:lang w:val="en-US" w:eastAsia="zh-CN"/>
        </w:rPr>
      </w:pPr>
      <w:r>
        <w:rPr>
          <w:rFonts w:hint="eastAsia"/>
          <w:lang w:val="en-US" w:eastAsia="zh-CN"/>
        </w:rPr>
        <w:t>表1-3 二级分类用地地价修正系数表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14"/>
        <w:gridCol w:w="3160"/>
        <w:gridCol w:w="1698"/>
        <w:gridCol w:w="16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blHeader/>
          <w:jc w:val="center"/>
        </w:trPr>
        <w:tc>
          <w:tcPr>
            <w:tcW w:w="1386" w:type="pct"/>
            <w:tcBorders>
              <w:top w:val="single" w:color="000000" w:sz="4" w:space="0"/>
              <w:left w:val="single" w:color="000000" w:sz="4" w:space="0"/>
              <w:bottom w:val="single" w:color="000000" w:sz="4" w:space="0"/>
              <w:right w:val="single" w:color="000000" w:sz="4" w:space="0"/>
            </w:tcBorders>
            <w:shd w:val="clear" w:color="auto" w:fill="BEBEBE"/>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一级地类</w:t>
            </w:r>
          </w:p>
        </w:tc>
        <w:tc>
          <w:tcPr>
            <w:tcW w:w="1742" w:type="pct"/>
            <w:tcBorders>
              <w:top w:val="single" w:color="000000" w:sz="4" w:space="0"/>
              <w:left w:val="single" w:color="000000" w:sz="4" w:space="0"/>
              <w:bottom w:val="single" w:color="000000" w:sz="4" w:space="0"/>
              <w:right w:val="single" w:color="000000" w:sz="4" w:space="0"/>
            </w:tcBorders>
            <w:shd w:val="clear" w:color="auto" w:fill="BEBEBE"/>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二级地类</w:t>
            </w:r>
          </w:p>
        </w:tc>
        <w:tc>
          <w:tcPr>
            <w:tcW w:w="936" w:type="pct"/>
            <w:tcBorders>
              <w:top w:val="single" w:color="000000" w:sz="4" w:space="0"/>
              <w:left w:val="single" w:color="000000" w:sz="4" w:space="0"/>
              <w:bottom w:val="single" w:color="000000" w:sz="4" w:space="0"/>
              <w:right w:val="single" w:color="000000" w:sz="4" w:space="0"/>
            </w:tcBorders>
            <w:shd w:val="clear" w:color="auto" w:fill="BEBEBE"/>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系数参照</w:t>
            </w:r>
          </w:p>
        </w:tc>
        <w:tc>
          <w:tcPr>
            <w:tcW w:w="933" w:type="pct"/>
            <w:tcBorders>
              <w:top w:val="single" w:color="000000" w:sz="4" w:space="0"/>
              <w:left w:val="single" w:color="000000" w:sz="4" w:space="0"/>
              <w:bottom w:val="single" w:color="000000" w:sz="4" w:space="0"/>
              <w:right w:val="single" w:color="000000" w:sz="4" w:space="0"/>
            </w:tcBorders>
            <w:shd w:val="clear" w:color="auto" w:fill="BEBEBE"/>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b/>
                <w:bCs/>
                <w:i w:val="0"/>
                <w:iCs w:val="0"/>
                <w:color w:val="000000"/>
                <w:sz w:val="24"/>
                <w:szCs w:val="24"/>
                <w:u w:val="none"/>
              </w:rPr>
            </w:pPr>
            <w:r>
              <w:rPr>
                <w:rStyle w:val="50"/>
                <w:rFonts w:hAnsi="Times New Roman"/>
                <w:lang w:val="en-US" w:eastAsia="zh-CN" w:bidi="ar"/>
              </w:rPr>
              <w:t>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公共管理与公共服务用地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机关团体用地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教育用地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科研用地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医疗卫生用地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社会福利用地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文化用地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体育用地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特殊用地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殡葬用地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宗教用地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监教场所用地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使领馆用地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其他特殊用地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公服一类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r>
              <w:rPr>
                <w:rStyle w:val="51"/>
                <w:rFonts w:hint="default" w:hAnsi="Times New Roman"/>
                <w:lang w:val="en-US" w:eastAsia="zh-CN" w:bidi="ar"/>
              </w:rPr>
              <w:t>公用设施用地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lang w:val="en-US" w:eastAsia="zh-CN" w:bidi="ar"/>
              </w:rPr>
              <w:t>供</w:t>
            </w:r>
            <w:r>
              <w:rPr>
                <w:rStyle w:val="51"/>
                <w:rFonts w:hint="eastAsia"/>
                <w:lang w:val="en-US" w:eastAsia="zh-CN" w:bidi="ar"/>
              </w:rPr>
              <w:t>水</w:t>
            </w:r>
            <w:r>
              <w:rPr>
                <w:rStyle w:val="51"/>
                <w:rFonts w:hAnsi="Times New Roman"/>
                <w:lang w:val="en-US" w:eastAsia="zh-CN" w:bidi="ar"/>
              </w:rPr>
              <w:t>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排水用地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供电用地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供燃气用地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供</w:t>
            </w:r>
            <w:r>
              <w:rPr>
                <w:rStyle w:val="51"/>
                <w:rFonts w:hint="eastAsia"/>
                <w:lang w:val="en-US" w:eastAsia="zh-CN" w:bidi="ar"/>
              </w:rPr>
              <w:t>水</w:t>
            </w:r>
            <w:r>
              <w:rPr>
                <w:rStyle w:val="51"/>
                <w:rFonts w:hAnsi="Times New Roman"/>
                <w:lang w:val="en-US" w:eastAsia="zh-CN" w:bidi="ar"/>
              </w:rPr>
              <w:t>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通信用地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邮政用地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广播电视设施用地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环卫用地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消防用地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干渠</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水工设施用地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其他公用设施用地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绿地与开敞空间用地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公园绿地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防护绿地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广场用地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交通运输用地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铁路用地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公路用地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城镇道路用地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ascii="仿宋_GB2312" w:hAnsi="等线" w:eastAsia="仿宋_GB2312" w:cs="仿宋_GB2312"/>
                <w:i w:val="0"/>
                <w:iCs w:val="0"/>
                <w:color w:val="000000"/>
                <w:sz w:val="24"/>
                <w:szCs w:val="24"/>
                <w:u w:val="none"/>
              </w:rPr>
            </w:pPr>
            <w:r>
              <w:rPr>
                <w:rFonts w:hint="eastAsia" w:ascii="仿宋_GB2312" w:hAnsi="等线" w:eastAsia="仿宋_GB2312" w:cs="仿宋_GB2312"/>
                <w:i w:val="0"/>
                <w:iCs w:val="0"/>
                <w:color w:val="000000"/>
                <w:kern w:val="0"/>
                <w:sz w:val="24"/>
                <w:szCs w:val="24"/>
                <w:u w:val="none"/>
                <w:lang w:val="en-US" w:eastAsia="zh-CN" w:bidi="ar"/>
              </w:rPr>
              <w:t>交通场站用地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管道运输用地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城市轨道交通用地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港口码头用地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机场用地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特殊用地</w:t>
            </w: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军事设施用地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default"/>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等线" w:cs="Times New Roman"/>
                <w:i w:val="0"/>
                <w:iCs w:val="0"/>
                <w:color w:val="000000"/>
                <w:sz w:val="24"/>
                <w:szCs w:val="24"/>
                <w:u w:val="none"/>
              </w:rPr>
            </w:pPr>
          </w:p>
        </w:tc>
        <w:tc>
          <w:tcPr>
            <w:tcW w:w="1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文物古迹用地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等线" w:cs="Times New Roman"/>
                <w:i w:val="0"/>
                <w:iCs w:val="0"/>
                <w:color w:val="000000"/>
                <w:sz w:val="24"/>
                <w:szCs w:val="24"/>
                <w:u w:val="none"/>
              </w:rPr>
            </w:pPr>
            <w:r>
              <w:rPr>
                <w:rStyle w:val="51"/>
                <w:rFonts w:hAnsi="Times New Roman"/>
                <w:lang w:val="en-US" w:eastAsia="zh-CN" w:bidi="ar"/>
              </w:rPr>
              <w:t>公服二类</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lang w:val="en-US" w:eastAsia="zh-CN"/>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left"/>
              <w:textAlignment w:val="center"/>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仿宋_GB2312" w:cs="Times New Roman"/>
                <w:spacing w:val="1"/>
                <w:sz w:val="18"/>
                <w:szCs w:val="18"/>
              </w:rPr>
              <w:t>注</w:t>
            </w:r>
            <w:r>
              <w:rPr>
                <w:rFonts w:hint="default" w:ascii="Times New Roman" w:hAnsi="Times New Roman" w:eastAsia="仿宋_GB2312" w:cs="Times New Roman"/>
                <w:spacing w:val="-13"/>
                <w:sz w:val="18"/>
                <w:szCs w:val="18"/>
              </w:rPr>
              <w:t>：（</w:t>
            </w:r>
            <w:r>
              <w:rPr>
                <w:rFonts w:hint="default" w:ascii="Times New Roman" w:hAnsi="Times New Roman" w:eastAsia="仿宋_GB2312" w:cs="Times New Roman"/>
                <w:spacing w:val="1"/>
                <w:sz w:val="18"/>
                <w:szCs w:val="18"/>
              </w:rPr>
              <w:t>1）上表中土地分类及其内涵遵照《国土空间调查、规划、用途管制用地</w:t>
            </w:r>
            <w:r>
              <w:rPr>
                <w:rFonts w:hint="default" w:ascii="Times New Roman" w:hAnsi="Times New Roman" w:eastAsia="仿宋_GB2312" w:cs="Times New Roman"/>
                <w:sz w:val="18"/>
                <w:szCs w:val="18"/>
              </w:rPr>
              <w:t>用海分类指南（试行）》（自然资办发〔2020〕51号</w:t>
            </w:r>
            <w:r>
              <w:rPr>
                <w:rFonts w:hint="default" w:ascii="Times New Roman" w:hAnsi="Times New Roman" w:eastAsia="仿宋_GB2312" w:cs="Times New Roman"/>
                <w:spacing w:val="-14"/>
                <w:sz w:val="18"/>
                <w:szCs w:val="18"/>
              </w:rPr>
              <w:t>）；（</w:t>
            </w:r>
            <w:r>
              <w:rPr>
                <w:rFonts w:hint="default" w:ascii="Times New Roman" w:hAnsi="Times New Roman" w:eastAsia="仿宋_GB2312" w:cs="Times New Roman"/>
                <w:sz w:val="18"/>
                <w:szCs w:val="18"/>
              </w:rPr>
              <w:t>2）符合划拨方式取得土地使用权的通过划拨取得，当需采用出让方式</w:t>
            </w:r>
            <w:r>
              <w:rPr>
                <w:rFonts w:hint="default" w:ascii="Times New Roman" w:hAnsi="Times New Roman" w:eastAsia="仿宋_GB2312" w:cs="Times New Roman"/>
                <w:spacing w:val="-1"/>
                <w:sz w:val="18"/>
                <w:szCs w:val="18"/>
              </w:rPr>
              <w:t>取得时可参考上表中的参照体系和调节系数。</w:t>
            </w:r>
          </w:p>
        </w:tc>
      </w:tr>
    </w:tbl>
    <w:p>
      <w:pPr>
        <w:pStyle w:val="3"/>
        <w:bidi w:val="0"/>
        <w:rPr>
          <w:rFonts w:hint="eastAsia"/>
          <w:lang w:val="en-US" w:eastAsia="zh-CN"/>
        </w:rPr>
      </w:pPr>
      <w:bookmarkStart w:id="9" w:name="_Toc22485"/>
      <w:r>
        <w:rPr>
          <w:rFonts w:hint="eastAsia"/>
          <w:lang w:val="en-US" w:eastAsia="zh-CN"/>
        </w:rPr>
        <w:t>二、城区基准地价修正体系</w:t>
      </w:r>
      <w:bookmarkEnd w:id="9"/>
    </w:p>
    <w:p>
      <w:pPr>
        <w:bidi w:val="0"/>
        <w:rPr>
          <w:rFonts w:hint="eastAsia"/>
          <w:lang w:val="en-US" w:eastAsia="zh-CN"/>
        </w:rPr>
      </w:pPr>
      <w:r>
        <w:rPr>
          <w:rFonts w:hint="eastAsia"/>
          <w:lang w:val="en-US" w:eastAsia="zh-CN"/>
        </w:rPr>
        <w:t>按照《城镇土地估价规程》（GB/T 18508-2014），区域因素修正系数的编制采用土地利用效益资料、市场地价资料和定级分值三种方法。本次基准地价修正系数表采用市场地价资料编制。为了给土地评估提供形象直观的因素条件描述，级别内因素条件按优、较优、一般、较劣、劣分为5个段，并给出每段对应的条件指标描述和相应的地价修正系数。</w:t>
      </w:r>
    </w:p>
    <w:p>
      <w:pPr>
        <w:bidi w:val="0"/>
      </w:pPr>
      <w:r>
        <w:rPr>
          <w:rFonts w:hint="eastAsia"/>
        </w:rPr>
        <w:t>1.确定级别基准地价</w:t>
      </w:r>
    </w:p>
    <w:p>
      <w:pPr>
        <w:bidi w:val="0"/>
        <w:rPr>
          <w:rFonts w:hint="eastAsia"/>
          <w:lang w:val="en-US" w:eastAsia="zh-CN"/>
        </w:rPr>
      </w:pPr>
      <w:r>
        <w:rPr>
          <w:rFonts w:hint="eastAsia"/>
          <w:lang w:val="en-US" w:eastAsia="zh-CN"/>
        </w:rPr>
        <w:t>按评估结果，确定级别基准地价。</w:t>
      </w:r>
    </w:p>
    <w:p>
      <w:pPr>
        <w:bidi w:val="0"/>
      </w:pPr>
      <w:r>
        <w:rPr>
          <w:rFonts w:hint="eastAsia"/>
        </w:rPr>
        <w:t>2.计算修正幅度值</w:t>
      </w:r>
    </w:p>
    <w:p>
      <w:pPr>
        <w:bidi w:val="0"/>
        <w:rPr>
          <w:rFonts w:hint="eastAsia"/>
          <w:lang w:val="en-US" w:eastAsia="zh-CN"/>
        </w:rPr>
      </w:pPr>
      <w:r>
        <w:rPr>
          <w:rFonts w:hint="eastAsia"/>
          <w:lang w:val="en-US" w:eastAsia="zh-CN"/>
        </w:rPr>
        <w:t>将调查到的区域中正常地价的最高值、最低值与基准地价作相对值比较，得到相对于基准地价的最高和最低修正幅度值，其计算方法按以下公式确定。</w:t>
      </w:r>
    </w:p>
    <w:p>
      <w:pPr>
        <w:widowControl w:val="0"/>
        <w:spacing w:line="360" w:lineRule="auto"/>
        <w:ind w:firstLine="480" w:firstLineChars="200"/>
        <w:jc w:val="center"/>
        <w:rPr>
          <w:rFonts w:hint="eastAsia" w:ascii="Times New Roman" w:hAnsi="Arial" w:eastAsia="宋体" w:cs="Times New Roman"/>
          <w:color w:val="auto"/>
          <w:kern w:val="0"/>
          <w:sz w:val="24"/>
          <w:szCs w:val="24"/>
          <w:highlight w:val="none"/>
          <w:shd w:val="clear" w:color="auto" w:fill="FFFFFF"/>
          <w:lang w:val="en-US" w:eastAsia="zh-CN" w:bidi="ar-SA"/>
        </w:rPr>
      </w:pPr>
      <w:r>
        <w:rPr>
          <w:rFonts w:ascii="Times New Roman" w:hAnsi="Arial" w:eastAsia="宋体" w:cs="Times New Roman"/>
          <w:color w:val="auto"/>
          <w:kern w:val="0"/>
          <w:position w:val="-30"/>
          <w:sz w:val="24"/>
          <w:szCs w:val="24"/>
          <w:highlight w:val="none"/>
          <w:shd w:val="clear" w:color="auto" w:fill="FFFFFF"/>
          <w:lang w:val="en-US" w:eastAsia="zh-CN" w:bidi="ar-SA"/>
        </w:rPr>
        <w:object>
          <v:shape id="_x0000_i1025" o:spt="75" type="#_x0000_t75" style="height:36pt;width:132pt;" o:ole="t" filled="f" o:preferrelative="t" stroked="f" coordsize="21600,21600">
            <v:path/>
            <v:fill on="f" focussize="0,0"/>
            <v:stroke on="f"/>
            <v:imagedata r:id="rId11" o:title=""/>
            <o:lock v:ext="edit" aspectratio="t"/>
            <w10:wrap type="none"/>
            <w10:anchorlock/>
          </v:shape>
          <o:OLEObject Type="Embed" ProgID="Equation.DSMT4" ShapeID="_x0000_i1025" DrawAspect="Content" ObjectID="_1468075725" r:id="rId10">
            <o:LockedField>false</o:LockedField>
          </o:OLEObject>
        </w:object>
      </w:r>
    </w:p>
    <w:p>
      <w:pPr>
        <w:bidi w:val="0"/>
        <w:rPr>
          <w:rFonts w:hint="eastAsia"/>
          <w:lang w:val="en-US" w:eastAsia="zh-CN"/>
        </w:rPr>
      </w:pPr>
      <w:r>
        <w:rPr>
          <w:rFonts w:hint="eastAsia"/>
          <w:lang w:val="en-US" w:eastAsia="zh-CN"/>
        </w:rPr>
        <w:t>式中：</w:t>
      </w:r>
      <w:r>
        <w:rPr>
          <w:rFonts w:hint="eastAsia" w:eastAsia="仿宋_GB2312" w:cs="Times New Roman"/>
          <w:kern w:val="2"/>
          <w:szCs w:val="28"/>
          <w:u w:val="none"/>
          <w:lang w:val="en-US" w:eastAsia="zh-CN" w:bidi="ar-SA"/>
        </w:rPr>
        <w:object>
          <v:shape id="_x0000_i1026" o:spt="75" type="#_x0000_t75" style="height:18pt;width:13pt;" o:ole="t" filled="f" o:preferrelative="t" stroked="f" coordsize="21600,21600">
            <v:path/>
            <v:fill on="f" focussize="0,0"/>
            <v:stroke on="f"/>
            <v:imagedata r:id="rId13" o:title=""/>
            <o:lock v:ext="edit" aspectratio="t"/>
            <w10:wrap type="none"/>
            <w10:anchorlock/>
          </v:shape>
          <o:OLEObject Type="Embed" ProgID="Equation.DSMT4" ShapeID="_x0000_i1026" DrawAspect="Content" ObjectID="_1468075726" r:id="rId12">
            <o:LockedField>false</o:LockedField>
          </o:OLEObject>
        </w:object>
      </w:r>
      <w:r>
        <w:rPr>
          <w:rFonts w:hint="eastAsia"/>
          <w:lang w:val="en-US" w:eastAsia="zh-CN"/>
        </w:rPr>
        <w:t>——基准地价上调最大幅度；</w:t>
      </w:r>
      <w:r>
        <w:rPr>
          <w:rFonts w:hint="eastAsia" w:eastAsia="仿宋_GB2312" w:cs="Times New Roman"/>
          <w:kern w:val="2"/>
          <w:szCs w:val="28"/>
          <w:u w:val="none"/>
          <w:lang w:val="en-US" w:eastAsia="zh-CN" w:bidi="ar-SA"/>
        </w:rPr>
        <w:object>
          <v:shape id="_x0000_i1027" o:spt="75" type="#_x0000_t75" style="height:18pt;width:13.95pt;" o:ole="t" filled="f" o:preferrelative="t" stroked="f" coordsize="21600,21600">
            <v:path/>
            <v:fill on="f" focussize="0,0"/>
            <v:stroke on="f"/>
            <v:imagedata r:id="rId15" o:title=""/>
            <o:lock v:ext="edit" aspectratio="t"/>
            <w10:wrap type="none"/>
            <w10:anchorlock/>
          </v:shape>
          <o:OLEObject Type="Embed" ProgID="Equation.DSMT4" ShapeID="_x0000_i1027" DrawAspect="Content" ObjectID="_1468075727" r:id="rId14">
            <o:LockedField>false</o:LockedField>
          </o:OLEObject>
        </w:object>
      </w:r>
      <w:r>
        <w:rPr>
          <w:rFonts w:hint="eastAsia"/>
          <w:lang w:val="en-US" w:eastAsia="zh-CN"/>
        </w:rPr>
        <w:t>——基准地价下调最大幅度；</w:t>
      </w:r>
      <w:r>
        <w:rPr>
          <w:rFonts w:hint="eastAsia" w:eastAsia="仿宋_GB2312" w:cs="Times New Roman"/>
          <w:kern w:val="2"/>
          <w:szCs w:val="28"/>
          <w:u w:val="none"/>
          <w:lang w:val="en-US" w:eastAsia="zh-CN" w:bidi="ar-SA"/>
        </w:rPr>
        <w:object>
          <v:shape id="_x0000_i1028" o:spt="75" type="#_x0000_t75" style="height:18pt;width:15pt;" o:ole="t" filled="f" o:preferrelative="t" stroked="f" coordsize="21600,21600">
            <v:path/>
            <v:fill on="f" focussize="0,0"/>
            <v:stroke on="f"/>
            <v:imagedata r:id="rId17" o:title=""/>
            <o:lock v:ext="edit" aspectratio="t"/>
            <w10:wrap type="none"/>
            <w10:anchorlock/>
          </v:shape>
          <o:OLEObject Type="Embed" ProgID="Equation.DSMT4" ShapeID="_x0000_i1028" DrawAspect="Content" ObjectID="_1468075728" r:id="rId16">
            <o:LockedField>false</o:LockedField>
          </o:OLEObject>
        </w:object>
      </w:r>
      <w:r>
        <w:rPr>
          <w:rFonts w:hint="eastAsia"/>
          <w:lang w:val="en-US" w:eastAsia="zh-CN"/>
        </w:rPr>
        <w:t>——基准地价；</w:t>
      </w:r>
      <w:r>
        <w:rPr>
          <w:rFonts w:hint="eastAsia" w:eastAsia="仿宋_GB2312" w:cs="Times New Roman"/>
          <w:kern w:val="2"/>
          <w:szCs w:val="28"/>
          <w:u w:val="none"/>
          <w:lang w:val="en-US" w:eastAsia="zh-CN" w:bidi="ar-SA"/>
        </w:rPr>
        <w:object>
          <v:shape id="_x0000_i1029" o:spt="75" type="#_x0000_t75" style="height:18pt;width:16pt;" o:ole="t" filled="f" o:preferrelative="t" stroked="f" coordsize="21600,21600">
            <v:path/>
            <v:fill on="f" focussize="0,0"/>
            <v:stroke on="f"/>
            <v:imagedata r:id="rId19" o:title=""/>
            <o:lock v:ext="edit" aspectratio="t"/>
            <w10:wrap type="none"/>
            <w10:anchorlock/>
          </v:shape>
          <o:OLEObject Type="Embed" ProgID="Equation.DSMT4" ShapeID="_x0000_i1029" DrawAspect="Content" ObjectID="_1468075729" r:id="rId18">
            <o:LockedField>false</o:LockedField>
          </o:OLEObject>
        </w:object>
      </w:r>
      <w:r>
        <w:rPr>
          <w:rFonts w:hint="eastAsia"/>
          <w:lang w:val="en-US" w:eastAsia="zh-CN"/>
        </w:rPr>
        <w:t>——级别或区域正常地价的最高值；</w:t>
      </w:r>
      <w:r>
        <w:rPr>
          <w:rFonts w:hint="eastAsia" w:eastAsia="仿宋_GB2312" w:cs="Times New Roman"/>
          <w:kern w:val="2"/>
          <w:szCs w:val="28"/>
          <w:u w:val="none"/>
          <w:lang w:val="en-US" w:eastAsia="zh-CN" w:bidi="ar-SA"/>
        </w:rPr>
        <w:object>
          <v:shape id="_x0000_i1030" o:spt="75" type="#_x0000_t75" style="height:18pt;width:15pt;" o:ole="t" filled="f" o:preferrelative="t" stroked="f" coordsize="21600,21600">
            <v:path/>
            <v:fill on="f" focussize="0,0"/>
            <v:stroke on="f"/>
            <v:imagedata r:id="rId21" o:title=""/>
            <o:lock v:ext="edit" aspectratio="t"/>
            <w10:wrap type="none"/>
            <w10:anchorlock/>
          </v:shape>
          <o:OLEObject Type="Embed" ProgID="Equation.DSMT4" ShapeID="_x0000_i1030" DrawAspect="Content" ObjectID="_1468075730" r:id="rId20">
            <o:LockedField>false</o:LockedField>
          </o:OLEObject>
        </w:object>
      </w:r>
      <w:r>
        <w:rPr>
          <w:rFonts w:hint="eastAsia"/>
          <w:lang w:val="en-US" w:eastAsia="zh-CN"/>
        </w:rPr>
        <w:t>——级别或区域正常地价的最低值。</w:t>
      </w:r>
    </w:p>
    <w:p>
      <w:pPr>
        <w:bidi w:val="0"/>
        <w:rPr>
          <w:rFonts w:hint="eastAsia"/>
          <w:lang w:val="en-US" w:eastAsia="zh-CN"/>
        </w:rPr>
      </w:pPr>
      <w:r>
        <w:rPr>
          <w:rFonts w:hint="eastAsia"/>
          <w:lang w:val="en-US" w:eastAsia="zh-CN"/>
        </w:rPr>
        <w:t>对基准地价与最高地价、最低地价之间的均分点，按样点地价计算修正幅度。</w:t>
      </w:r>
    </w:p>
    <w:p>
      <w:pPr>
        <w:pStyle w:val="27"/>
        <w:bidi w:val="0"/>
        <w:rPr>
          <w:rFonts w:hint="eastAsia"/>
          <w:lang w:val="en-US" w:eastAsia="zh-CN"/>
        </w:rPr>
      </w:pPr>
      <w:r>
        <w:rPr>
          <w:rFonts w:hint="eastAsia"/>
          <w:lang w:val="en-US" w:eastAsia="zh-CN"/>
        </w:rPr>
        <w:t>表2-1 随州市各类用地修正调整幅度表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9"/>
        <w:gridCol w:w="1191"/>
        <w:gridCol w:w="1232"/>
        <w:gridCol w:w="1232"/>
        <w:gridCol w:w="1232"/>
        <w:gridCol w:w="1232"/>
        <w:gridCol w:w="1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jc w:val="center"/>
        </w:trPr>
        <w:tc>
          <w:tcPr>
            <w:tcW w:w="2551" w:type="dxa"/>
            <w:gridSpan w:val="2"/>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用地类型</w:t>
            </w:r>
          </w:p>
        </w:tc>
        <w:tc>
          <w:tcPr>
            <w:tcW w:w="1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Ⅰ级</w:t>
            </w:r>
          </w:p>
        </w:tc>
        <w:tc>
          <w:tcPr>
            <w:tcW w:w="1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Ⅱ级</w:t>
            </w:r>
          </w:p>
        </w:tc>
        <w:tc>
          <w:tcPr>
            <w:tcW w:w="1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Ⅲ级</w:t>
            </w:r>
          </w:p>
        </w:tc>
        <w:tc>
          <w:tcPr>
            <w:tcW w:w="1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Ⅳ级</w:t>
            </w:r>
          </w:p>
        </w:tc>
        <w:tc>
          <w:tcPr>
            <w:tcW w:w="1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pStyle w:val="26"/>
              <w:bidi w:val="0"/>
              <w:rPr>
                <w:rFonts w:hint="eastAsia"/>
                <w:b/>
                <w:bCs/>
              </w:rPr>
            </w:pPr>
            <w:r>
              <w:rPr>
                <w:rFonts w:hint="eastAsia"/>
                <w:b/>
                <w:bCs/>
                <w:lang w:val="en-US" w:eastAsia="zh-CN"/>
              </w:rPr>
              <w:t>Ⅴ级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商业服务业用地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22.12%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21.59%</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21.49%</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25.22%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27.43%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-22.24%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-21.87%</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-28.34%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居住用地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21.88%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20.66%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20.60%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20.27%</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-21.94%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-20.65%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-20.32%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-25.42%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工矿用地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22.06%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21.79%</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20.53%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21.53%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-22.08%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-21.93%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-20.87%</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-20.21%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default"/>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公共管理与公共服务用地一类</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21.73%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21.46%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20.20%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25.61%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28.42%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-21.41%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-21.26%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-25.20%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-28.54%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公共管理与公共服务用地二类</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20.62%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21.71%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20.19%</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25.33%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rPr>
            </w:pPr>
            <w:r>
              <w:rPr>
                <w:rFonts w:hint="default"/>
                <w:lang w:val="en-US" w:eastAsia="zh-CN"/>
              </w:rPr>
              <w:t>F2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-20.34%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-21.44%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-24.81%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-22.37%</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rPr>
                <w:rFonts w:hint="eastAsia"/>
              </w:rPr>
            </w:pPr>
            <w:r>
              <w:rPr>
                <w:rFonts w:hint="eastAsia"/>
                <w:lang w:val="en-US" w:eastAsia="zh-CN"/>
              </w:rPr>
              <w:t>-22.47%</w:t>
            </w:r>
          </w:p>
        </w:tc>
      </w:tr>
    </w:tbl>
    <w:p>
      <w:pPr>
        <w:pStyle w:val="4"/>
        <w:bidi w:val="0"/>
        <w:rPr>
          <w:rFonts w:hint="eastAsia"/>
          <w:lang w:val="en-US" w:eastAsia="zh-CN"/>
        </w:rPr>
      </w:pPr>
      <w:bookmarkStart w:id="10" w:name="_Toc21340"/>
      <w:r>
        <w:rPr>
          <w:rFonts w:hint="eastAsia"/>
          <w:lang w:val="en-US" w:eastAsia="zh-CN"/>
        </w:rPr>
        <w:t>（一）商业服务业用地</w:t>
      </w:r>
      <w:r>
        <w:rPr>
          <w:rFonts w:hint="eastAsia"/>
        </w:rPr>
        <w:t>基准地价</w:t>
      </w:r>
      <w:r>
        <w:rPr>
          <w:rFonts w:hint="eastAsia"/>
          <w:lang w:val="en-US" w:eastAsia="zh-CN"/>
        </w:rPr>
        <w:t>修正体系</w:t>
      </w:r>
      <w:bookmarkEnd w:id="10"/>
    </w:p>
    <w:p>
      <w:pPr>
        <w:pStyle w:val="5"/>
        <w:bidi w:val="0"/>
        <w:rPr>
          <w:rFonts w:hint="eastAsia"/>
          <w:lang w:val="en-US" w:eastAsia="zh-CN"/>
        </w:rPr>
      </w:pPr>
      <w:bookmarkStart w:id="11" w:name="_Toc29762"/>
      <w:r>
        <w:rPr>
          <w:rFonts w:hint="eastAsia"/>
          <w:lang w:val="en-US" w:eastAsia="zh-CN"/>
        </w:rPr>
        <w:t>1.商业服务业用地</w:t>
      </w:r>
      <w:r>
        <w:rPr>
          <w:rFonts w:hint="eastAsia"/>
        </w:rPr>
        <w:t>基准地价</w:t>
      </w:r>
      <w:r>
        <w:rPr>
          <w:rFonts w:hint="eastAsia"/>
          <w:lang w:val="en-US" w:eastAsia="zh-CN"/>
        </w:rPr>
        <w:t>区域因素修正体系</w:t>
      </w:r>
      <w:bookmarkEnd w:id="11"/>
    </w:p>
    <w:p>
      <w:pPr>
        <w:pStyle w:val="6"/>
        <w:bidi w:val="0"/>
      </w:pPr>
      <w:bookmarkStart w:id="12" w:name="_Toc280274314"/>
      <w:r>
        <w:rPr>
          <w:rFonts w:hint="eastAsia"/>
          <w:lang w:val="en-US" w:eastAsia="zh-CN"/>
        </w:rPr>
        <w:t>（1）</w:t>
      </w:r>
      <w:r>
        <w:rPr>
          <w:rFonts w:hint="eastAsia"/>
        </w:rPr>
        <w:t>Ⅰ级</w:t>
      </w:r>
      <w:r>
        <w:rPr>
          <w:rFonts w:hint="eastAsia"/>
          <w:lang w:val="en-US" w:eastAsia="zh-CN"/>
        </w:rPr>
        <w:t>商业服务业用地</w:t>
      </w:r>
      <w:r>
        <w:rPr>
          <w:rFonts w:hint="eastAsia"/>
        </w:rPr>
        <w:t>宗地地价区域因素修正系数</w:t>
      </w:r>
      <w:bookmarkEnd w:id="12"/>
    </w:p>
    <w:p>
      <w:pPr>
        <w:pStyle w:val="27"/>
        <w:bidi w:val="0"/>
        <w:rPr>
          <w:rFonts w:hint="eastAsia"/>
          <w:lang w:val="en-US" w:eastAsia="zh-CN"/>
        </w:rPr>
      </w:pPr>
      <w:r>
        <w:rPr>
          <w:rFonts w:hint="eastAsia"/>
          <w:lang w:val="en-US" w:eastAsia="zh-CN"/>
        </w:rPr>
        <w:t xml:space="preserve">表2-2 </w:t>
      </w:r>
      <w:r>
        <w:rPr>
          <w:rFonts w:hint="default"/>
        </w:rPr>
        <w:t>Ⅰ</w:t>
      </w:r>
      <w:r>
        <w:rPr>
          <w:rFonts w:hint="eastAsia"/>
        </w:rPr>
        <w:t>级</w:t>
      </w:r>
      <w:r>
        <w:rPr>
          <w:rFonts w:hint="eastAsia"/>
          <w:lang w:val="en-US" w:eastAsia="zh-CN"/>
        </w:rPr>
        <w:t>商业服务业用地</w:t>
      </w:r>
      <w:r>
        <w:rPr>
          <w:rFonts w:hint="eastAsia"/>
        </w:rPr>
        <w:t>宗地地价区域因素修正系数指标说明表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457"/>
        <w:gridCol w:w="1222"/>
        <w:gridCol w:w="1564"/>
        <w:gridCol w:w="1586"/>
        <w:gridCol w:w="1500"/>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648" w:type="dxa"/>
            <w:tcBorders>
              <w:tl2br w:val="nil"/>
              <w:tr2bl w:val="nil"/>
            </w:tcBorders>
            <w:shd w:val="clear" w:color="auto" w:fill="BFBFBF"/>
            <w:vAlign w:val="center"/>
          </w:tcPr>
          <w:p>
            <w:pPr>
              <w:pStyle w:val="26"/>
              <w:bidi w:val="0"/>
              <w:rPr>
                <w:b/>
                <w:bCs/>
                <w:sz w:val="18"/>
                <w:szCs w:val="18"/>
              </w:rPr>
            </w:pPr>
            <w:r>
              <w:rPr>
                <w:rFonts w:hint="eastAsia"/>
                <w:b/>
                <w:bCs/>
                <w:sz w:val="18"/>
                <w:szCs w:val="18"/>
                <w:lang w:val="en-US" w:eastAsia="zh-CN"/>
              </w:rPr>
              <w:t>因素</w:t>
            </w:r>
          </w:p>
        </w:tc>
        <w:tc>
          <w:tcPr>
            <w:tcW w:w="1457"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因子</w:t>
            </w:r>
          </w:p>
        </w:tc>
        <w:tc>
          <w:tcPr>
            <w:tcW w:w="1222"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优</w:t>
            </w:r>
          </w:p>
        </w:tc>
        <w:tc>
          <w:tcPr>
            <w:tcW w:w="156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较优</w:t>
            </w:r>
          </w:p>
        </w:tc>
        <w:tc>
          <w:tcPr>
            <w:tcW w:w="1586"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一般</w:t>
            </w:r>
          </w:p>
        </w:tc>
        <w:tc>
          <w:tcPr>
            <w:tcW w:w="1500"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较劣</w:t>
            </w:r>
          </w:p>
        </w:tc>
        <w:tc>
          <w:tcPr>
            <w:tcW w:w="109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繁华程度</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距商服中心距离(米）</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(200,300]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(300,400]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(400,500]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商服网点密度(个/平方公里）</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[900,1000)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[800,900)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[700,800)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&lt;700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交通条件</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道路通达度</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混合型主干道</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生活型主干道</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生活型次干道或交通型主干道</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交通型次干道</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距公交站点距离(米）</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(100,200]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(300,500]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距客运站距离(米）</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≤500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(500,1000]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(1000,1500]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(1500,2000]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距火车站距离(米）</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(1000,2000]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(2000,3000]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(3000,4000]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基本设施状况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供热状况（%）</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&gt;95</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(90,95]</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(85,90]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(80,85]</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供气状况（%）</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≥98</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[95,98)</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[93,95)</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[90,93)</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&lt;90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排水状况</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雨污分流制，排水通畅，无积水</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雨污分流制，排水通畅，遇暴雨有少量积水</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雨污合流制，排水通畅</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雨污合流制，遇暴雨严重积水</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自然排放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距集贸市场距离(米）</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(100,200]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(300,400]</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&gt;400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人口密度(人/平方公里）</w:t>
            </w:r>
          </w:p>
        </w:tc>
        <w:tc>
          <w:tcPr>
            <w:tcW w:w="1222" w:type="dxa"/>
            <w:tcBorders>
              <w:tl2br w:val="nil"/>
              <w:tr2bl w:val="nil"/>
            </w:tcBorders>
            <w:shd w:val="clear" w:color="auto" w:fill="auto"/>
            <w:noWrap/>
            <w:vAlign w:val="center"/>
          </w:tcPr>
          <w:p>
            <w:pPr>
              <w:pStyle w:val="26"/>
              <w:bidi w:val="0"/>
              <w:rPr>
                <w:sz w:val="18"/>
                <w:szCs w:val="18"/>
              </w:rPr>
            </w:pPr>
            <w:r>
              <w:rPr>
                <w:rFonts w:hint="default"/>
                <w:sz w:val="18"/>
                <w:szCs w:val="18"/>
                <w:lang w:val="en-US" w:eastAsia="zh-CN"/>
              </w:rPr>
              <w:t>≥</w:t>
            </w:r>
            <w:r>
              <w:rPr>
                <w:rFonts w:hint="eastAsia"/>
                <w:sz w:val="18"/>
                <w:szCs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[100,200)</w:t>
            </w:r>
          </w:p>
        </w:tc>
        <w:tc>
          <w:tcPr>
            <w:tcW w:w="1094" w:type="dxa"/>
            <w:tcBorders>
              <w:tl2br w:val="nil"/>
              <w:tr2bl w:val="nil"/>
            </w:tcBorders>
            <w:shd w:val="clear" w:color="auto" w:fill="auto"/>
            <w:noWrap/>
            <w:vAlign w:val="center"/>
          </w:tcPr>
          <w:p>
            <w:pPr>
              <w:pStyle w:val="26"/>
              <w:bidi w:val="0"/>
              <w:rPr>
                <w:sz w:val="18"/>
                <w:szCs w:val="18"/>
              </w:rPr>
            </w:pPr>
            <w:r>
              <w:rPr>
                <w:rFonts w:hint="eastAsia"/>
                <w:sz w:val="18"/>
                <w:szCs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发展潜力</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交通规划</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近期规划道路-混合型主干道</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近期规划道路-生活型主干道</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近期改造道路-生活型次干道</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近期改造道路-交通型次干道</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远期建设道路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重点建设区规划</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城市更新重点更新片区</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城市更新单元主要分布区域</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城市更新单元大量分布区域</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城市更新单元少量分布区域</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城市更新单元未分布区域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城市功能规划分区</w:t>
            </w:r>
          </w:p>
        </w:tc>
        <w:tc>
          <w:tcPr>
            <w:tcW w:w="1222"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商业商务区</w:t>
            </w:r>
          </w:p>
        </w:tc>
        <w:tc>
          <w:tcPr>
            <w:tcW w:w="156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居住生活区、综合服务区</w:t>
            </w:r>
          </w:p>
        </w:tc>
        <w:tc>
          <w:tcPr>
            <w:tcW w:w="1586"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绿地休闲区、交通枢纽区</w:t>
            </w:r>
          </w:p>
        </w:tc>
        <w:tc>
          <w:tcPr>
            <w:tcW w:w="1500"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工业发展区、物流仓储区</w:t>
            </w:r>
          </w:p>
        </w:tc>
        <w:tc>
          <w:tcPr>
            <w:tcW w:w="1094" w:type="dxa"/>
            <w:tcBorders>
              <w:tl2br w:val="nil"/>
              <w:tr2bl w:val="nil"/>
            </w:tcBorders>
            <w:shd w:val="clear" w:color="auto" w:fill="auto"/>
            <w:noWrap/>
            <w:vAlign w:val="center"/>
          </w:tcPr>
          <w:p>
            <w:pPr>
              <w:pStyle w:val="26"/>
              <w:bidi w:val="0"/>
              <w:rPr>
                <w:rFonts w:hint="eastAsia"/>
                <w:sz w:val="18"/>
                <w:szCs w:val="18"/>
              </w:rPr>
            </w:pPr>
            <w:r>
              <w:rPr>
                <w:rFonts w:hint="eastAsia"/>
                <w:sz w:val="18"/>
                <w:szCs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 xml:space="preserve">表2-3 </w:t>
      </w:r>
      <w:r>
        <w:rPr>
          <w:rFonts w:hint="default"/>
        </w:rPr>
        <w:t>Ⅰ</w:t>
      </w:r>
      <w:r>
        <w:rPr>
          <w:rFonts w:hint="eastAsia"/>
        </w:rPr>
        <w:t>级</w:t>
      </w:r>
      <w:r>
        <w:rPr>
          <w:rFonts w:hint="eastAsia"/>
          <w:lang w:val="en-US" w:eastAsia="zh-CN"/>
        </w:rPr>
        <w:t>商业服务业用地</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1100"/>
        <w:gridCol w:w="1100"/>
        <w:gridCol w:w="1154"/>
        <w:gridCol w:w="1154"/>
        <w:gridCol w:w="1154"/>
        <w:gridCol w:w="1154"/>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繁华程度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商服中心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0.2159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商服网点密度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0.1755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0.0388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道路通达度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0.0758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公交便捷度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0.0697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客运站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火车站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0.0324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基本设施状况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0.0299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排水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0.0335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集贸市场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0.0956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0.1428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0.0316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发展潜力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0.0273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重点建设区规划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0.0207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城市功能规划分区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default"/>
                <w:sz w:val="18"/>
              </w:rPr>
            </w:pPr>
            <w:r>
              <w:rPr>
                <w:rFonts w:hint="default"/>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r>
    </w:tbl>
    <w:p>
      <w:pPr>
        <w:rPr>
          <w:rFonts w:hint="default"/>
          <w:lang w:val="en-US" w:eastAsia="zh-CN"/>
        </w:rPr>
      </w:pPr>
      <w:r>
        <w:rPr>
          <w:rFonts w:hint="default"/>
          <w:lang w:val="en-US" w:eastAsia="zh-CN"/>
        </w:rPr>
        <w:br w:type="page"/>
      </w:r>
    </w:p>
    <w:p>
      <w:pPr>
        <w:pStyle w:val="6"/>
        <w:bidi w:val="0"/>
      </w:pPr>
      <w:r>
        <w:rPr>
          <w:rFonts w:hint="eastAsia"/>
          <w:lang w:val="en-US" w:eastAsia="zh-CN"/>
        </w:rPr>
        <w:t>（2）Ⅱ</w:t>
      </w:r>
      <w:r>
        <w:rPr>
          <w:rFonts w:hint="eastAsia"/>
        </w:rPr>
        <w:t>级</w:t>
      </w:r>
      <w:r>
        <w:rPr>
          <w:rFonts w:hint="eastAsia"/>
          <w:lang w:val="en-US" w:eastAsia="zh-CN"/>
        </w:rPr>
        <w:t>商业服务业用地</w:t>
      </w:r>
      <w:r>
        <w:rPr>
          <w:rFonts w:hint="eastAsia"/>
        </w:rPr>
        <w:t>宗地地价区域因素修正系数</w:t>
      </w:r>
    </w:p>
    <w:p>
      <w:pPr>
        <w:pStyle w:val="27"/>
        <w:bidi w:val="0"/>
        <w:rPr>
          <w:rFonts w:hint="eastAsia"/>
          <w:lang w:val="en-US" w:eastAsia="zh-CN"/>
        </w:rPr>
      </w:pPr>
      <w:r>
        <w:rPr>
          <w:rFonts w:hint="eastAsia"/>
          <w:lang w:val="en-US" w:eastAsia="zh-CN"/>
        </w:rPr>
        <w:t>表2-4 Ⅱ</w:t>
      </w:r>
      <w:r>
        <w:rPr>
          <w:rFonts w:hint="eastAsia"/>
        </w:rPr>
        <w:t>级</w:t>
      </w:r>
      <w:r>
        <w:rPr>
          <w:rFonts w:hint="eastAsia"/>
          <w:lang w:val="en-US" w:eastAsia="zh-CN"/>
        </w:rPr>
        <w:t>商业服务业用地</w:t>
      </w:r>
      <w:r>
        <w:rPr>
          <w:rFonts w:hint="eastAsia"/>
        </w:rPr>
        <w:t>宗地地价区域因素修正系数指标说明表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457"/>
        <w:gridCol w:w="1222"/>
        <w:gridCol w:w="1564"/>
        <w:gridCol w:w="1586"/>
        <w:gridCol w:w="1500"/>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648" w:type="dxa"/>
            <w:tcBorders>
              <w:tl2br w:val="nil"/>
              <w:tr2bl w:val="nil"/>
            </w:tcBorders>
            <w:shd w:val="clear" w:color="auto" w:fill="BFBFBF"/>
            <w:vAlign w:val="center"/>
          </w:tcPr>
          <w:p>
            <w:pPr>
              <w:pStyle w:val="26"/>
              <w:bidi w:val="0"/>
              <w:rPr>
                <w:b/>
                <w:bCs/>
                <w:sz w:val="18"/>
                <w:szCs w:val="18"/>
              </w:rPr>
            </w:pPr>
            <w:r>
              <w:rPr>
                <w:rFonts w:hint="eastAsia"/>
                <w:b/>
                <w:bCs/>
                <w:sz w:val="18"/>
                <w:szCs w:val="18"/>
                <w:lang w:val="en-US" w:eastAsia="zh-CN"/>
              </w:rPr>
              <w:t>因素</w:t>
            </w:r>
          </w:p>
        </w:tc>
        <w:tc>
          <w:tcPr>
            <w:tcW w:w="1457"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因子</w:t>
            </w:r>
          </w:p>
        </w:tc>
        <w:tc>
          <w:tcPr>
            <w:tcW w:w="1222"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优</w:t>
            </w:r>
          </w:p>
        </w:tc>
        <w:tc>
          <w:tcPr>
            <w:tcW w:w="156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较优</w:t>
            </w:r>
          </w:p>
        </w:tc>
        <w:tc>
          <w:tcPr>
            <w:tcW w:w="1586"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一般</w:t>
            </w:r>
          </w:p>
        </w:tc>
        <w:tc>
          <w:tcPr>
            <w:tcW w:w="1500"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较劣</w:t>
            </w:r>
          </w:p>
        </w:tc>
        <w:tc>
          <w:tcPr>
            <w:tcW w:w="109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繁华程度</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距商服中心距离(米）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(250,350]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(350,450]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(450,550]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商服网点密度(个/平方公里）</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≥700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[500,700)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[100,300)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交通条件</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道路通达度</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生活型次干道或交通型主干道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距公交站点距离(米）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(150,250]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(250,350]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 450]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距客运站距离(米）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(350,550]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(550,750]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(750,950]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距火车站距离(米）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(1500,2500]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(2500,3500]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(3500,4500]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基本设施状况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供热状况（%）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&gt;95</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(90,95]</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(85,90]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(80,85]</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供气状况（%）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≥98</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[95,98)</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[93,95)</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[90,93)</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排水状况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雨污分流制，排水通畅，无积水</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雨污分流制，排水通畅，遇暴雨有少量积水</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雨污合流制，排水通畅</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雨污合流制，遇暴雨严重积水</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自然排放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距集贸市场距离(米）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(150,250]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(250,350]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(350,450]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人口密度(人/平方公里）</w:t>
            </w:r>
          </w:p>
        </w:tc>
        <w:tc>
          <w:tcPr>
            <w:tcW w:w="1222" w:type="dxa"/>
            <w:tcBorders>
              <w:tl2br w:val="nil"/>
              <w:tr2bl w:val="nil"/>
            </w:tcBorders>
            <w:shd w:val="clear" w:color="auto" w:fill="auto"/>
            <w:noWrap/>
            <w:vAlign w:val="center"/>
          </w:tcPr>
          <w:p>
            <w:pPr>
              <w:pStyle w:val="26"/>
              <w:bidi w:val="0"/>
              <w:rPr>
                <w:sz w:val="18"/>
              </w:rPr>
            </w:pPr>
            <w:r>
              <w:rPr>
                <w:rFonts w:hint="default"/>
                <w:sz w:val="18"/>
                <w:lang w:val="en-US" w:eastAsia="zh-CN"/>
              </w:rPr>
              <w:t>≥</w:t>
            </w: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[100,200)</w:t>
            </w:r>
          </w:p>
        </w:tc>
        <w:tc>
          <w:tcPr>
            <w:tcW w:w="1094" w:type="dxa"/>
            <w:tcBorders>
              <w:tl2br w:val="nil"/>
              <w:tr2bl w:val="nil"/>
            </w:tcBorders>
            <w:shd w:val="clear" w:color="auto" w:fill="auto"/>
            <w:noWrap/>
            <w:vAlign w:val="center"/>
          </w:tcPr>
          <w:p>
            <w:pPr>
              <w:pStyle w:val="26"/>
              <w:bidi w:val="0"/>
              <w:rPr>
                <w:sz w:val="18"/>
              </w:rPr>
            </w:pPr>
            <w:r>
              <w:rPr>
                <w:rFonts w:hint="eastAsia"/>
                <w:sz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发展潜力</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近期改造道路-生活型次干道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远期建设道路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重点建设区规划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城市更新重点更新片区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城市更新单元主要分布区域</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城市更新单元大量分布区域</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城市更新单元少量分布区域</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城市更新单元未分布区域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城市功能规划分区</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商业商务区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居住生活区、综合服务区</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绿地休闲区、交通枢纽区</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工业发展区、物流仓储区</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表2-5 Ⅱ</w:t>
      </w:r>
      <w:r>
        <w:rPr>
          <w:rFonts w:hint="eastAsia"/>
        </w:rPr>
        <w:t>级</w:t>
      </w:r>
      <w:r>
        <w:rPr>
          <w:rFonts w:hint="eastAsia"/>
          <w:lang w:val="en-US" w:eastAsia="zh-CN"/>
        </w:rPr>
        <w:t>商业服务业用地</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1100"/>
        <w:gridCol w:w="1100"/>
        <w:gridCol w:w="1154"/>
        <w:gridCol w:w="1154"/>
        <w:gridCol w:w="1154"/>
        <w:gridCol w:w="1154"/>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繁华程度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商服中心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0.2159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商服网点密度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0.1755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道路通达度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0.0758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公交便捷度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0.0697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客运站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火车站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0.0324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基本设施状况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0.0299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排水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0.0335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集贸市场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0.0956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0.1428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发展潜力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0.0273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重点建设区规划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0.0207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城市功能规划分区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rPr>
                <w:rFonts w:hint="default"/>
                <w:sz w:val="18"/>
              </w:rPr>
            </w:pPr>
            <w:r>
              <w:rPr>
                <w:rFonts w:hint="default"/>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r>
    </w:tbl>
    <w:p>
      <w:pPr>
        <w:rPr>
          <w:rFonts w:hint="default"/>
          <w:lang w:val="en-US" w:eastAsia="zh-CN"/>
        </w:rPr>
      </w:pPr>
      <w:r>
        <w:rPr>
          <w:rFonts w:hint="default"/>
          <w:lang w:val="en-US" w:eastAsia="zh-CN"/>
        </w:rPr>
        <w:br w:type="page"/>
      </w:r>
    </w:p>
    <w:p>
      <w:pPr>
        <w:pStyle w:val="6"/>
        <w:bidi w:val="0"/>
      </w:pPr>
      <w:r>
        <w:rPr>
          <w:rFonts w:hint="eastAsia"/>
          <w:lang w:val="en-US" w:eastAsia="zh-CN"/>
        </w:rPr>
        <w:t>（3）Ⅲ</w:t>
      </w:r>
      <w:r>
        <w:rPr>
          <w:rFonts w:hint="eastAsia"/>
        </w:rPr>
        <w:t>级</w:t>
      </w:r>
      <w:r>
        <w:rPr>
          <w:rFonts w:hint="eastAsia"/>
          <w:lang w:val="en-US" w:eastAsia="zh-CN"/>
        </w:rPr>
        <w:t>商业服务业用地</w:t>
      </w:r>
      <w:r>
        <w:rPr>
          <w:rFonts w:hint="eastAsia"/>
        </w:rPr>
        <w:t>宗地地价区域因素修正系数</w:t>
      </w:r>
    </w:p>
    <w:p>
      <w:pPr>
        <w:pStyle w:val="27"/>
        <w:bidi w:val="0"/>
        <w:rPr>
          <w:rFonts w:hint="eastAsia"/>
          <w:lang w:val="en-US" w:eastAsia="zh-CN"/>
        </w:rPr>
      </w:pPr>
      <w:r>
        <w:rPr>
          <w:rFonts w:hint="eastAsia"/>
          <w:lang w:val="en-US" w:eastAsia="zh-CN"/>
        </w:rPr>
        <w:t>表2-6 Ⅲ</w:t>
      </w:r>
      <w:r>
        <w:rPr>
          <w:rFonts w:hint="eastAsia"/>
        </w:rPr>
        <w:t>级</w:t>
      </w:r>
      <w:r>
        <w:rPr>
          <w:rFonts w:hint="eastAsia"/>
          <w:lang w:val="en-US" w:eastAsia="zh-CN"/>
        </w:rPr>
        <w:t>商业服务业用地</w:t>
      </w:r>
      <w:r>
        <w:rPr>
          <w:rFonts w:hint="eastAsia"/>
        </w:rPr>
        <w:t>宗地地价区域因素修正系数指标说明表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457"/>
        <w:gridCol w:w="1222"/>
        <w:gridCol w:w="1564"/>
        <w:gridCol w:w="1586"/>
        <w:gridCol w:w="1500"/>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648" w:type="dxa"/>
            <w:tcBorders>
              <w:tl2br w:val="nil"/>
              <w:tr2bl w:val="nil"/>
            </w:tcBorders>
            <w:shd w:val="clear" w:color="auto" w:fill="BFBFBF"/>
            <w:vAlign w:val="center"/>
          </w:tcPr>
          <w:p>
            <w:pPr>
              <w:pStyle w:val="26"/>
              <w:bidi w:val="0"/>
              <w:rPr>
                <w:b/>
                <w:bCs/>
                <w:sz w:val="18"/>
                <w:szCs w:val="18"/>
              </w:rPr>
            </w:pPr>
            <w:r>
              <w:rPr>
                <w:rFonts w:hint="eastAsia"/>
                <w:b/>
                <w:bCs/>
                <w:sz w:val="18"/>
                <w:szCs w:val="18"/>
                <w:lang w:val="en-US" w:eastAsia="zh-CN"/>
              </w:rPr>
              <w:t>因素</w:t>
            </w:r>
          </w:p>
        </w:tc>
        <w:tc>
          <w:tcPr>
            <w:tcW w:w="1457"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因子</w:t>
            </w:r>
          </w:p>
        </w:tc>
        <w:tc>
          <w:tcPr>
            <w:tcW w:w="1222"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优</w:t>
            </w:r>
          </w:p>
        </w:tc>
        <w:tc>
          <w:tcPr>
            <w:tcW w:w="156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较优</w:t>
            </w:r>
          </w:p>
        </w:tc>
        <w:tc>
          <w:tcPr>
            <w:tcW w:w="1586"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一般</w:t>
            </w:r>
          </w:p>
        </w:tc>
        <w:tc>
          <w:tcPr>
            <w:tcW w:w="1500"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较劣</w:t>
            </w:r>
          </w:p>
        </w:tc>
        <w:tc>
          <w:tcPr>
            <w:tcW w:w="109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繁华程度</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距商服中心距离(米）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(500,600]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商服网点密度(个/平方公里）</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[150,200)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[50,150)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交通条件</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道路通达度</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生活型次干道或交通型主干道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距公交站点距离(米）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 500]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距客运站距离(米）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(400,600]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(600,800]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(800,1000]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距火车站距离(米）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(2000,3000]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(3000,4000]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(4000,5000]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基本设施状况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供热状况（%）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&gt;95</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(90,95]</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(85,90]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(80,85]</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供气状况（%）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≥98</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[95,98)</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[93,95)</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[90,93)</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排水状况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雨污分流制，排水通畅，无积水</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雨污分流制，排水通畅，遇暴雨有少量积水</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雨污合流制，排水通畅</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雨污合流制，遇暴雨严重积水</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自然排放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距集贸市场距离(米）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(400,500]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人口密度(人/平方公里）</w:t>
            </w:r>
          </w:p>
        </w:tc>
        <w:tc>
          <w:tcPr>
            <w:tcW w:w="1222" w:type="dxa"/>
            <w:tcBorders>
              <w:tl2br w:val="nil"/>
              <w:tr2bl w:val="nil"/>
            </w:tcBorders>
            <w:shd w:val="clear" w:color="auto" w:fill="auto"/>
            <w:noWrap/>
            <w:vAlign w:val="center"/>
          </w:tcPr>
          <w:p>
            <w:pPr>
              <w:pStyle w:val="26"/>
              <w:bidi w:val="0"/>
              <w:rPr>
                <w:sz w:val="18"/>
              </w:rPr>
            </w:pPr>
            <w:r>
              <w:rPr>
                <w:rFonts w:hint="default"/>
                <w:sz w:val="18"/>
                <w:lang w:val="en-US" w:eastAsia="zh-CN"/>
              </w:rPr>
              <w:t>≥</w:t>
            </w: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[100,200)</w:t>
            </w:r>
          </w:p>
        </w:tc>
        <w:tc>
          <w:tcPr>
            <w:tcW w:w="1094" w:type="dxa"/>
            <w:tcBorders>
              <w:tl2br w:val="nil"/>
              <w:tr2bl w:val="nil"/>
            </w:tcBorders>
            <w:shd w:val="clear" w:color="auto" w:fill="auto"/>
            <w:noWrap/>
            <w:vAlign w:val="center"/>
          </w:tcPr>
          <w:p>
            <w:pPr>
              <w:pStyle w:val="26"/>
              <w:bidi w:val="0"/>
              <w:rPr>
                <w:sz w:val="18"/>
              </w:rPr>
            </w:pPr>
            <w:r>
              <w:rPr>
                <w:rFonts w:hint="eastAsia"/>
                <w:sz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发展潜力</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近期改造道路-生活型次干道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远期建设道路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重点建设区规划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城市更新重点更新片区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城市更新单元主要分布区域</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城市更新单元大量分布区域</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城市更新单元少量分布区域</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城市更新单元未分布区域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城市功能规划分区</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商业商务区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居住生活区、综合服务区</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绿地休闲区、交通枢纽区</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工业发展区、物流仓储区</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表2-7 Ⅲ</w:t>
      </w:r>
      <w:r>
        <w:rPr>
          <w:rFonts w:hint="eastAsia"/>
        </w:rPr>
        <w:t>级</w:t>
      </w:r>
      <w:r>
        <w:rPr>
          <w:rFonts w:hint="eastAsia"/>
          <w:lang w:val="en-US" w:eastAsia="zh-CN"/>
        </w:rPr>
        <w:t>商业服务业用地</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1100"/>
        <w:gridCol w:w="1100"/>
        <w:gridCol w:w="1154"/>
        <w:gridCol w:w="1154"/>
        <w:gridCol w:w="1154"/>
        <w:gridCol w:w="1154"/>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繁华程度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商服中心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0.2159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商服网点密度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0.1755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道路通达度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0.0758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公交便捷度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0.0697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客运站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火车站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基本设施状况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排水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集贸市场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0.0956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0.1428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发展潜力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重点建设区规划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城市功能规划分区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r>
    </w:tbl>
    <w:p>
      <w:pPr>
        <w:rPr>
          <w:rFonts w:hint="default"/>
          <w:lang w:val="en-US" w:eastAsia="zh-CN"/>
        </w:rPr>
      </w:pPr>
      <w:r>
        <w:rPr>
          <w:rFonts w:hint="default"/>
          <w:lang w:val="en-US" w:eastAsia="zh-CN"/>
        </w:rPr>
        <w:br w:type="page"/>
      </w:r>
    </w:p>
    <w:p>
      <w:pPr>
        <w:pStyle w:val="6"/>
        <w:bidi w:val="0"/>
      </w:pPr>
      <w:r>
        <w:rPr>
          <w:rFonts w:hint="eastAsia"/>
          <w:lang w:val="en-US" w:eastAsia="zh-CN"/>
        </w:rPr>
        <w:t>（4）IV</w:t>
      </w:r>
      <w:r>
        <w:rPr>
          <w:rFonts w:hint="eastAsia"/>
        </w:rPr>
        <w:t>级</w:t>
      </w:r>
      <w:r>
        <w:rPr>
          <w:rFonts w:hint="eastAsia"/>
          <w:lang w:val="en-US" w:eastAsia="zh-CN"/>
        </w:rPr>
        <w:t>商业服务业用地</w:t>
      </w:r>
      <w:r>
        <w:rPr>
          <w:rFonts w:hint="eastAsia"/>
        </w:rPr>
        <w:t>宗地地价区域因素修正系数</w:t>
      </w:r>
    </w:p>
    <w:p>
      <w:pPr>
        <w:pStyle w:val="27"/>
        <w:bidi w:val="0"/>
        <w:rPr>
          <w:rFonts w:hint="eastAsia"/>
          <w:lang w:val="en-US" w:eastAsia="zh-CN"/>
        </w:rPr>
      </w:pPr>
      <w:r>
        <w:rPr>
          <w:rFonts w:hint="eastAsia"/>
          <w:lang w:val="en-US" w:eastAsia="zh-CN"/>
        </w:rPr>
        <w:t>表2-8 IV</w:t>
      </w:r>
      <w:r>
        <w:rPr>
          <w:rFonts w:hint="eastAsia"/>
        </w:rPr>
        <w:t>级</w:t>
      </w:r>
      <w:r>
        <w:rPr>
          <w:rFonts w:hint="eastAsia"/>
          <w:lang w:val="en-US" w:eastAsia="zh-CN"/>
        </w:rPr>
        <w:t>商业服务业用地</w:t>
      </w:r>
      <w:r>
        <w:rPr>
          <w:rFonts w:hint="eastAsia"/>
        </w:rPr>
        <w:t>宗地地价区域因素修正系数指标说明表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457"/>
        <w:gridCol w:w="1222"/>
        <w:gridCol w:w="1564"/>
        <w:gridCol w:w="1586"/>
        <w:gridCol w:w="1500"/>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648" w:type="dxa"/>
            <w:tcBorders>
              <w:tl2br w:val="nil"/>
              <w:tr2bl w:val="nil"/>
            </w:tcBorders>
            <w:shd w:val="clear" w:color="auto" w:fill="BFBFBF"/>
            <w:vAlign w:val="center"/>
          </w:tcPr>
          <w:p>
            <w:pPr>
              <w:pStyle w:val="26"/>
              <w:bidi w:val="0"/>
              <w:rPr>
                <w:b/>
                <w:bCs/>
                <w:sz w:val="18"/>
                <w:szCs w:val="18"/>
              </w:rPr>
            </w:pPr>
            <w:r>
              <w:rPr>
                <w:rFonts w:hint="eastAsia"/>
                <w:b/>
                <w:bCs/>
                <w:sz w:val="18"/>
                <w:szCs w:val="18"/>
                <w:lang w:val="en-US" w:eastAsia="zh-CN"/>
              </w:rPr>
              <w:t>因素</w:t>
            </w:r>
          </w:p>
        </w:tc>
        <w:tc>
          <w:tcPr>
            <w:tcW w:w="1457"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因子</w:t>
            </w:r>
          </w:p>
        </w:tc>
        <w:tc>
          <w:tcPr>
            <w:tcW w:w="1222"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优</w:t>
            </w:r>
          </w:p>
        </w:tc>
        <w:tc>
          <w:tcPr>
            <w:tcW w:w="156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较优</w:t>
            </w:r>
          </w:p>
        </w:tc>
        <w:tc>
          <w:tcPr>
            <w:tcW w:w="1586"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一般</w:t>
            </w:r>
          </w:p>
        </w:tc>
        <w:tc>
          <w:tcPr>
            <w:tcW w:w="1500"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较劣</w:t>
            </w:r>
          </w:p>
        </w:tc>
        <w:tc>
          <w:tcPr>
            <w:tcW w:w="109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繁华程度</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距商服中心距离(米）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(350,500]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(500,650]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(650,800]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商服网点密度(个/平方公里）</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[150,200)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[80,150)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[30,80)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交通条件</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道路通达度</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生活型次干道或交通型主干道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距公交站点距离(米）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(250,350]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(350,450]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 550]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距客运站距离(米）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(450,650]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(650,850]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(850,1050]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距火车站距离(米）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(2500,3500]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(3500,4500]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(4500,5500]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基本设施状况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供热状况（%）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&gt;95</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(90,95]</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(85,90]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(80,85]</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供气状况（%）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≥98</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[95,98)</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[93,95)</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[90,93)</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排水状况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雨污分流制，排水通畅，无积水</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雨污分流制，排水通畅，遇暴雨有少量积水</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雨污合流制，排水通畅</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雨污合流制，遇暴雨严重积水</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自然排放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距集贸市场距离(米）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(250,350]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(350,450]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(450,550]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人口密度(人/平方公里）</w:t>
            </w:r>
          </w:p>
        </w:tc>
        <w:tc>
          <w:tcPr>
            <w:tcW w:w="1222" w:type="dxa"/>
            <w:tcBorders>
              <w:tl2br w:val="nil"/>
              <w:tr2bl w:val="nil"/>
            </w:tcBorders>
            <w:shd w:val="clear" w:color="auto" w:fill="auto"/>
            <w:noWrap/>
            <w:vAlign w:val="center"/>
          </w:tcPr>
          <w:p>
            <w:pPr>
              <w:pStyle w:val="26"/>
              <w:bidi w:val="0"/>
              <w:rPr>
                <w:sz w:val="18"/>
              </w:rPr>
            </w:pPr>
            <w:r>
              <w:rPr>
                <w:rFonts w:hint="default"/>
                <w:sz w:val="18"/>
                <w:lang w:val="en-US" w:eastAsia="zh-CN"/>
              </w:rPr>
              <w:t>≥</w:t>
            </w: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[100,200)</w:t>
            </w:r>
          </w:p>
        </w:tc>
        <w:tc>
          <w:tcPr>
            <w:tcW w:w="1094" w:type="dxa"/>
            <w:tcBorders>
              <w:tl2br w:val="nil"/>
              <w:tr2bl w:val="nil"/>
            </w:tcBorders>
            <w:shd w:val="clear" w:color="auto" w:fill="auto"/>
            <w:noWrap/>
            <w:vAlign w:val="center"/>
          </w:tcPr>
          <w:p>
            <w:pPr>
              <w:pStyle w:val="26"/>
              <w:bidi w:val="0"/>
              <w:rPr>
                <w:sz w:val="18"/>
              </w:rPr>
            </w:pPr>
            <w:r>
              <w:rPr>
                <w:rFonts w:hint="eastAsia"/>
                <w:sz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发展潜力</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近期改造道路-生活型次干道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远期建设道路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重点建设区规划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城市更新重点更新片区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城市更新单元主要分布区域</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城市更新单元大量分布区域</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城市更新单元少量分布区域</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城市更新单元未分布区域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城市功能规划分区</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商业商务区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居住生活区、综合服务区</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绿地休闲区、交通枢纽区</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工业发展区、物流仓储区</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表2-9 IV商业服务业用地</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1100"/>
        <w:gridCol w:w="1100"/>
        <w:gridCol w:w="1154"/>
        <w:gridCol w:w="1154"/>
        <w:gridCol w:w="1154"/>
        <w:gridCol w:w="1154"/>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繁华程度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商服中心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0.2159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0.0544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商服网点密度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0.1755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道路通达度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0.0758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公交便捷度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0.0697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客运站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火车站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基本设施状况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排水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集贸市场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0.0956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0.1428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发展潜力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重点建设区规划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城市功能规划分区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-0.0048</w:t>
            </w:r>
          </w:p>
        </w:tc>
      </w:tr>
    </w:tbl>
    <w:p>
      <w:pPr>
        <w:rPr>
          <w:rFonts w:hint="default"/>
          <w:lang w:val="en-US" w:eastAsia="zh-CN"/>
        </w:rPr>
      </w:pPr>
      <w:r>
        <w:rPr>
          <w:rFonts w:hint="default"/>
          <w:lang w:val="en-US" w:eastAsia="zh-CN"/>
        </w:rPr>
        <w:br w:type="page"/>
      </w:r>
    </w:p>
    <w:p>
      <w:pPr>
        <w:pStyle w:val="6"/>
        <w:bidi w:val="0"/>
      </w:pPr>
      <w:r>
        <w:rPr>
          <w:rFonts w:hint="eastAsia"/>
          <w:lang w:val="en-US" w:eastAsia="zh-CN"/>
        </w:rPr>
        <w:t>（5）Ⅴ</w:t>
      </w:r>
      <w:r>
        <w:rPr>
          <w:rFonts w:hint="eastAsia"/>
        </w:rPr>
        <w:t>级</w:t>
      </w:r>
      <w:r>
        <w:rPr>
          <w:rFonts w:hint="eastAsia"/>
          <w:lang w:val="en-US" w:eastAsia="zh-CN"/>
        </w:rPr>
        <w:t>商业服务业用地</w:t>
      </w:r>
      <w:r>
        <w:rPr>
          <w:rFonts w:hint="eastAsia"/>
        </w:rPr>
        <w:t>宗地地价区域因素修正系数</w:t>
      </w:r>
    </w:p>
    <w:p>
      <w:pPr>
        <w:pStyle w:val="27"/>
        <w:bidi w:val="0"/>
        <w:rPr>
          <w:rFonts w:hint="eastAsia"/>
          <w:lang w:val="en-US" w:eastAsia="zh-CN"/>
        </w:rPr>
      </w:pPr>
      <w:r>
        <w:rPr>
          <w:rFonts w:hint="eastAsia"/>
          <w:lang w:val="en-US" w:eastAsia="zh-CN"/>
        </w:rPr>
        <w:t>表2-10 Ⅴ</w:t>
      </w:r>
      <w:r>
        <w:rPr>
          <w:rFonts w:hint="eastAsia"/>
        </w:rPr>
        <w:t>级</w:t>
      </w:r>
      <w:r>
        <w:rPr>
          <w:rFonts w:hint="eastAsia"/>
          <w:lang w:val="en-US" w:eastAsia="zh-CN"/>
        </w:rPr>
        <w:t>商业服务业用地</w:t>
      </w:r>
      <w:r>
        <w:rPr>
          <w:rFonts w:hint="eastAsia"/>
        </w:rPr>
        <w:t>宗地地价区域因素修正系数指标说明表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457"/>
        <w:gridCol w:w="1222"/>
        <w:gridCol w:w="1564"/>
        <w:gridCol w:w="1586"/>
        <w:gridCol w:w="1500"/>
        <w:gridCol w:w="1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648" w:type="dxa"/>
            <w:tcBorders>
              <w:tl2br w:val="nil"/>
              <w:tr2bl w:val="nil"/>
            </w:tcBorders>
            <w:shd w:val="clear" w:color="auto" w:fill="BFBFBF"/>
            <w:vAlign w:val="center"/>
          </w:tcPr>
          <w:p>
            <w:pPr>
              <w:pStyle w:val="26"/>
              <w:bidi w:val="0"/>
              <w:rPr>
                <w:b/>
                <w:bCs/>
                <w:sz w:val="18"/>
                <w:szCs w:val="18"/>
              </w:rPr>
            </w:pPr>
            <w:r>
              <w:rPr>
                <w:rFonts w:hint="eastAsia"/>
                <w:b/>
                <w:bCs/>
                <w:sz w:val="18"/>
                <w:szCs w:val="18"/>
                <w:lang w:val="en-US" w:eastAsia="zh-CN"/>
              </w:rPr>
              <w:t>因素</w:t>
            </w:r>
          </w:p>
        </w:tc>
        <w:tc>
          <w:tcPr>
            <w:tcW w:w="1457"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因子</w:t>
            </w:r>
          </w:p>
        </w:tc>
        <w:tc>
          <w:tcPr>
            <w:tcW w:w="1222"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优</w:t>
            </w:r>
          </w:p>
        </w:tc>
        <w:tc>
          <w:tcPr>
            <w:tcW w:w="156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较优</w:t>
            </w:r>
          </w:p>
        </w:tc>
        <w:tc>
          <w:tcPr>
            <w:tcW w:w="1586"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一般</w:t>
            </w:r>
          </w:p>
        </w:tc>
        <w:tc>
          <w:tcPr>
            <w:tcW w:w="1500"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较劣</w:t>
            </w:r>
          </w:p>
        </w:tc>
        <w:tc>
          <w:tcPr>
            <w:tcW w:w="1094" w:type="dxa"/>
            <w:tcBorders>
              <w:tl2br w:val="nil"/>
              <w:tr2bl w:val="nil"/>
            </w:tcBorders>
            <w:shd w:val="clear" w:color="auto" w:fill="BFBFBF"/>
            <w:vAlign w:val="center"/>
          </w:tcPr>
          <w:p>
            <w:pPr>
              <w:pStyle w:val="26"/>
              <w:bidi w:val="0"/>
              <w:rPr>
                <w:rFonts w:hint="eastAsia"/>
                <w:b/>
                <w:bCs/>
                <w:sz w:val="18"/>
                <w:szCs w:val="18"/>
              </w:rPr>
            </w:pPr>
            <w:r>
              <w:rPr>
                <w:rFonts w:hint="eastAsia"/>
                <w:b/>
                <w:bCs/>
                <w:sz w:val="18"/>
                <w:szCs w:val="18"/>
                <w:lang w:val="en-US" w:eastAsia="zh-CN"/>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繁华程度</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距商服中心距离(米）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(400,550]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(550,700]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(700,850]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商服网点密度(个/平方公里）</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[70,100)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[40,70)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[10,40)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交通条件</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道路通达度</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生活型次干道或交通型主干道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距公交站点距离(米）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(400,600]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距客运站距离(米）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(500,700]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(700,900]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(900,1100]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距火车站距离(米）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(3000,4000]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(4000,5000]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(5000,6000]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基本设施状况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供热状况（%）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&gt;95</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(90,95]</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(85,90]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(80,85]</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供气状况（%）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≥98</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[95,98)</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[93,95)</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[90,93)</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&lt;90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排水状况</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雨污分流制，排水通畅，无积水</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雨污分流制，排水通畅，遇暴雨有少量积水</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雨污合流制，排水通畅</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雨污合流制，遇暴雨严重积水</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自然排放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距集贸市场距离(米）</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(400,500]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(500,600]</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&gt;600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人口状况</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人口密度(人/平方公里）</w:t>
            </w:r>
          </w:p>
        </w:tc>
        <w:tc>
          <w:tcPr>
            <w:tcW w:w="1222" w:type="dxa"/>
            <w:tcBorders>
              <w:tl2br w:val="nil"/>
              <w:tr2bl w:val="nil"/>
            </w:tcBorders>
            <w:shd w:val="clear" w:color="auto" w:fill="auto"/>
            <w:noWrap/>
            <w:vAlign w:val="center"/>
          </w:tcPr>
          <w:p>
            <w:pPr>
              <w:pStyle w:val="26"/>
              <w:bidi w:val="0"/>
              <w:rPr>
                <w:sz w:val="18"/>
              </w:rPr>
            </w:pPr>
            <w:r>
              <w:rPr>
                <w:rFonts w:hint="default"/>
                <w:sz w:val="18"/>
                <w:lang w:val="en-US" w:eastAsia="zh-CN"/>
              </w:rPr>
              <w:t>≥</w:t>
            </w:r>
            <w:r>
              <w:rPr>
                <w:rFonts w:hint="eastAsia"/>
                <w:sz w:val="18"/>
                <w:lang w:val="en-US" w:eastAsia="zh-CN"/>
              </w:rPr>
              <w:t>400</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[300,400)</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[200,300)</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[100,200)</w:t>
            </w:r>
          </w:p>
        </w:tc>
        <w:tc>
          <w:tcPr>
            <w:tcW w:w="1094" w:type="dxa"/>
            <w:tcBorders>
              <w:tl2br w:val="nil"/>
              <w:tr2bl w:val="nil"/>
            </w:tcBorders>
            <w:shd w:val="clear" w:color="auto" w:fill="auto"/>
            <w:noWrap/>
            <w:vAlign w:val="center"/>
          </w:tcPr>
          <w:p>
            <w:pPr>
              <w:pStyle w:val="26"/>
              <w:bidi w:val="0"/>
              <w:rPr>
                <w:sz w:val="18"/>
              </w:rPr>
            </w:pPr>
            <w:r>
              <w:rPr>
                <w:rFonts w:hint="eastAsia"/>
                <w:sz w:val="18"/>
                <w:lang w:val="en-US" w:eastAsia="zh-CN"/>
              </w:rPr>
              <w:t>&lt;100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restart"/>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发展潜力</w:t>
            </w: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交通规划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近期规划道路-混合型主干道</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近期规划道路-生活型主干道</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近期改造道路-生活型次干道</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近期改造道路-交通型次干道</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远期建设道路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重点建设区规划</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城市更新重点更新片区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城市更新单元主要分布区域</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城市更新单元大量分布区域</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城市更新单元少量分布区域</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城市更新单元未分布区域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648" w:type="dxa"/>
            <w:vMerge w:val="continue"/>
            <w:tcBorders>
              <w:tl2br w:val="nil"/>
              <w:tr2bl w:val="nil"/>
            </w:tcBorders>
            <w:shd w:val="clear" w:color="auto" w:fill="auto"/>
            <w:vAlign w:val="center"/>
          </w:tcPr>
          <w:p>
            <w:pPr>
              <w:pStyle w:val="26"/>
              <w:bidi w:val="0"/>
              <w:rPr>
                <w:rFonts w:hint="eastAsia"/>
                <w:sz w:val="18"/>
                <w:szCs w:val="18"/>
              </w:rPr>
            </w:pPr>
          </w:p>
        </w:tc>
        <w:tc>
          <w:tcPr>
            <w:tcW w:w="1457" w:type="dxa"/>
            <w:tcBorders>
              <w:tl2br w:val="nil"/>
              <w:tr2bl w:val="nil"/>
            </w:tcBorders>
            <w:shd w:val="clear" w:color="auto" w:fill="auto"/>
            <w:vAlign w:val="center"/>
          </w:tcPr>
          <w:p>
            <w:pPr>
              <w:pStyle w:val="26"/>
              <w:bidi w:val="0"/>
              <w:rPr>
                <w:rFonts w:hint="eastAsia"/>
                <w:sz w:val="18"/>
                <w:szCs w:val="18"/>
              </w:rPr>
            </w:pPr>
            <w:r>
              <w:rPr>
                <w:rFonts w:hint="eastAsia"/>
                <w:sz w:val="18"/>
                <w:szCs w:val="18"/>
                <w:lang w:val="en-US" w:eastAsia="zh-CN"/>
              </w:rPr>
              <w:t>城市功能规划分区</w:t>
            </w:r>
          </w:p>
        </w:tc>
        <w:tc>
          <w:tcPr>
            <w:tcW w:w="1222"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商业商务区</w:t>
            </w:r>
          </w:p>
        </w:tc>
        <w:tc>
          <w:tcPr>
            <w:tcW w:w="156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居住生活区、综合服务区</w:t>
            </w:r>
          </w:p>
        </w:tc>
        <w:tc>
          <w:tcPr>
            <w:tcW w:w="1586"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绿地休闲区、交通枢纽区</w:t>
            </w:r>
          </w:p>
        </w:tc>
        <w:tc>
          <w:tcPr>
            <w:tcW w:w="1500"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工业发展区、物流仓储区</w:t>
            </w:r>
          </w:p>
        </w:tc>
        <w:tc>
          <w:tcPr>
            <w:tcW w:w="1094" w:type="dxa"/>
            <w:tcBorders>
              <w:tl2br w:val="nil"/>
              <w:tr2bl w:val="nil"/>
            </w:tcBorders>
            <w:shd w:val="clear" w:color="auto" w:fill="auto"/>
            <w:noWrap/>
            <w:vAlign w:val="center"/>
          </w:tcPr>
          <w:p>
            <w:pPr>
              <w:pStyle w:val="26"/>
              <w:bidi w:val="0"/>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表2-11 Ⅴ商业服务业用地</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1100"/>
        <w:gridCol w:w="1100"/>
        <w:gridCol w:w="1154"/>
        <w:gridCol w:w="1154"/>
        <w:gridCol w:w="1154"/>
        <w:gridCol w:w="1154"/>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繁华程度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商服中心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0.2159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0.0592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商服网点密度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0.1755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道路通达度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0.0758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公交便捷度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0.0697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客运站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火车站</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基本设施状况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供气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0.0299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排水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0.0335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集贸市场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0.0956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人口状况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人口密度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0.1428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0.0392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发展潜力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交通规划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重点建设区规划</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0.0207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jc w:val="center"/>
              <w:rPr>
                <w:rFonts w:hint="eastAsia"/>
                <w:sz w:val="18"/>
              </w:rPr>
            </w:pPr>
            <w:r>
              <w:rPr>
                <w:rFonts w:hint="eastAsia"/>
                <w:sz w:val="18"/>
                <w:lang w:val="en-US" w:eastAsia="zh-CN"/>
              </w:rPr>
              <w:t>城市功能规划分区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bidi w:val="0"/>
              <w:ind w:firstLine="0" w:firstLineChars="0"/>
              <w:rPr>
                <w:rFonts w:hint="default"/>
                <w:sz w:val="18"/>
              </w:rPr>
            </w:pPr>
            <w:r>
              <w:rPr>
                <w:rFonts w:hint="default"/>
                <w:sz w:val="18"/>
                <w:lang w:val="en-US" w:eastAsia="zh-CN"/>
              </w:rPr>
              <w:t>0.0168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-0.0038</w:t>
            </w:r>
          </w:p>
        </w:tc>
      </w:tr>
    </w:tbl>
    <w:p>
      <w:pPr>
        <w:rPr>
          <w:rFonts w:hint="default"/>
          <w:lang w:val="en-US" w:eastAsia="zh-CN"/>
        </w:rPr>
      </w:pPr>
      <w:r>
        <w:rPr>
          <w:rFonts w:hint="default"/>
          <w:lang w:val="en-US" w:eastAsia="zh-CN"/>
        </w:rPr>
        <w:br w:type="page"/>
      </w:r>
    </w:p>
    <w:p>
      <w:pPr>
        <w:pStyle w:val="5"/>
        <w:bidi w:val="0"/>
        <w:rPr>
          <w:rFonts w:hint="eastAsia"/>
          <w:lang w:val="en-US" w:eastAsia="zh-CN"/>
        </w:rPr>
      </w:pPr>
      <w:bookmarkStart w:id="13" w:name="_Toc16847"/>
      <w:r>
        <w:rPr>
          <w:rFonts w:hint="eastAsia"/>
          <w:lang w:val="en-US" w:eastAsia="zh-CN"/>
        </w:rPr>
        <w:t>2.商业服务业用地</w:t>
      </w:r>
      <w:r>
        <w:rPr>
          <w:rFonts w:hint="eastAsia"/>
        </w:rPr>
        <w:t>基准地价个别因素修正体系</w:t>
      </w:r>
      <w:bookmarkEnd w:id="13"/>
    </w:p>
    <w:p>
      <w:pPr>
        <w:pStyle w:val="6"/>
        <w:bidi w:val="0"/>
        <w:rPr>
          <w:rFonts w:hint="default"/>
          <w:lang w:val="en-US" w:eastAsia="zh-CN"/>
        </w:rPr>
      </w:pPr>
      <w:r>
        <w:rPr>
          <w:rFonts w:hint="eastAsia"/>
          <w:lang w:val="en-US" w:eastAsia="zh-CN"/>
        </w:rPr>
        <w:t>（1）</w:t>
      </w:r>
      <w:r>
        <w:rPr>
          <w:rFonts w:hint="default"/>
          <w:lang w:val="en-US" w:eastAsia="zh-CN"/>
        </w:rPr>
        <w:t>容积率修正系数</w:t>
      </w:r>
    </w:p>
    <w:p>
      <w:pPr>
        <w:bidi w:val="0"/>
        <w:rPr>
          <w:rFonts w:hint="default"/>
          <w:lang w:val="en-US" w:eastAsia="zh-CN"/>
        </w:rPr>
      </w:pPr>
      <w:r>
        <w:rPr>
          <w:rFonts w:hint="default"/>
          <w:lang w:val="en-US" w:eastAsia="zh-CN"/>
        </w:rPr>
        <w:t>基准地价是代表设定容积率水平下的地价，在进行宗地地价计算时需将基准地价修正到宗地实际容积率水平下的地价。采用数理统计学原理，调查不同容积率水平下的地价，以容积率作为变量，地价作为应变量作曲线拟合，并通过回归检验，两者线性关系显著，由此确定回归方程参数。利用回归方程参数最终确定容积率与地价的函数关系见下表。</w:t>
      </w:r>
    </w:p>
    <w:p>
      <w:pPr>
        <w:pStyle w:val="27"/>
        <w:bidi w:val="0"/>
        <w:rPr>
          <w:rFonts w:hint="default"/>
          <w:lang w:val="en-US" w:eastAsia="zh-CN"/>
        </w:rPr>
      </w:pPr>
      <w:r>
        <w:rPr>
          <w:rFonts w:hint="default"/>
          <w:lang w:val="en-US" w:eastAsia="zh-CN"/>
        </w:rPr>
        <w:t>表</w:t>
      </w:r>
      <w:r>
        <w:rPr>
          <w:rFonts w:hint="eastAsia"/>
          <w:lang w:val="en-US" w:eastAsia="zh-CN"/>
        </w:rPr>
        <w:t>2-12</w:t>
      </w:r>
      <w:r>
        <w:rPr>
          <w:rFonts w:hint="default"/>
          <w:lang w:val="en-US" w:eastAsia="zh-CN"/>
        </w:rPr>
        <w:t xml:space="preserve"> </w:t>
      </w:r>
      <w:r>
        <w:rPr>
          <w:rFonts w:hint="eastAsia"/>
          <w:lang w:val="en-US" w:eastAsia="zh-CN"/>
        </w:rPr>
        <w:t>商服</w:t>
      </w:r>
      <w:r>
        <w:rPr>
          <w:rFonts w:hint="default"/>
          <w:lang w:val="en-US" w:eastAsia="zh-CN"/>
        </w:rPr>
        <w:t>容积率与</w:t>
      </w:r>
      <w:r>
        <w:rPr>
          <w:rFonts w:hint="eastAsia"/>
          <w:lang w:val="en-US" w:eastAsia="zh-CN"/>
        </w:rPr>
        <w:t>商业服务业用地</w:t>
      </w:r>
      <w:r>
        <w:rPr>
          <w:rFonts w:hint="default"/>
          <w:lang w:val="en-US" w:eastAsia="zh-CN"/>
        </w:rPr>
        <w:t>价格的函数关系</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1974"/>
        <w:gridCol w:w="4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shd w:val="clear" w:color="auto" w:fill="A4A4A4"/>
            <w:noWrap w:val="0"/>
            <w:vAlign w:val="center"/>
          </w:tcPr>
          <w:p>
            <w:pPr>
              <w:pStyle w:val="26"/>
              <w:bidi w:val="0"/>
              <w:rPr>
                <w:rFonts w:hint="default"/>
                <w:b/>
                <w:bCs/>
                <w:lang w:val="en-US" w:eastAsia="zh-CN"/>
              </w:rPr>
            </w:pPr>
            <w:r>
              <w:rPr>
                <w:rFonts w:hint="default"/>
                <w:b/>
                <w:bCs/>
                <w:lang w:val="en-US" w:eastAsia="zh-CN"/>
              </w:rPr>
              <w:t>用途</w:t>
            </w:r>
          </w:p>
        </w:tc>
        <w:tc>
          <w:tcPr>
            <w:tcW w:w="1974" w:type="dxa"/>
            <w:shd w:val="clear" w:color="auto" w:fill="A4A4A4"/>
            <w:noWrap w:val="0"/>
            <w:vAlign w:val="center"/>
          </w:tcPr>
          <w:p>
            <w:pPr>
              <w:pStyle w:val="26"/>
              <w:bidi w:val="0"/>
              <w:rPr>
                <w:rFonts w:hint="default"/>
                <w:b/>
                <w:bCs/>
                <w:lang w:val="en-US" w:eastAsia="zh-CN"/>
              </w:rPr>
            </w:pPr>
            <w:r>
              <w:rPr>
                <w:rFonts w:hint="default"/>
                <w:b/>
                <w:bCs/>
                <w:lang w:val="en-US" w:eastAsia="zh-CN"/>
              </w:rPr>
              <w:t>级别</w:t>
            </w:r>
          </w:p>
        </w:tc>
        <w:tc>
          <w:tcPr>
            <w:tcW w:w="4759" w:type="dxa"/>
            <w:shd w:val="clear" w:color="auto" w:fill="A4A4A4"/>
            <w:noWrap w:val="0"/>
            <w:vAlign w:val="center"/>
          </w:tcPr>
          <w:p>
            <w:pPr>
              <w:pStyle w:val="26"/>
              <w:bidi w:val="0"/>
              <w:rPr>
                <w:rFonts w:hint="default"/>
                <w:b/>
                <w:bCs/>
                <w:lang w:val="en-US" w:eastAsia="zh-CN"/>
              </w:rPr>
            </w:pPr>
            <w:r>
              <w:rPr>
                <w:rFonts w:hint="default"/>
                <w:b/>
                <w:bCs/>
                <w:lang w:val="en-US" w:eastAsia="zh-CN"/>
              </w:rPr>
              <w:t>函数关系</w:t>
            </w:r>
          </w:p>
          <w:p>
            <w:pPr>
              <w:pStyle w:val="26"/>
              <w:bidi w:val="0"/>
              <w:rPr>
                <w:rFonts w:hint="default"/>
                <w:b/>
                <w:bCs/>
                <w:lang w:val="en-US" w:eastAsia="zh-CN"/>
              </w:rPr>
            </w:pPr>
            <w:r>
              <w:rPr>
                <w:rFonts w:hint="default"/>
                <w:b/>
                <w:bCs/>
                <w:lang w:val="en-US" w:eastAsia="zh-CN"/>
              </w:rPr>
              <w:t>(x代表容积率，y代表</w:t>
            </w:r>
            <w:r>
              <w:rPr>
                <w:rFonts w:hint="eastAsia"/>
                <w:b/>
                <w:bCs/>
                <w:lang w:val="en-US" w:eastAsia="zh-CN"/>
              </w:rPr>
              <w:t>商服</w:t>
            </w:r>
            <w:r>
              <w:rPr>
                <w:rFonts w:hint="default"/>
                <w:b/>
                <w:bCs/>
                <w:lang w:val="en-US" w:eastAsia="zh-CN"/>
              </w:rPr>
              <w:t>用地价格</w:t>
            </w:r>
            <w:r>
              <w:rPr>
                <w:rFonts w:hint="eastAsia"/>
                <w:b/>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restart"/>
            <w:noWrap w:val="0"/>
            <w:vAlign w:val="center"/>
          </w:tcPr>
          <w:p>
            <w:pPr>
              <w:pStyle w:val="26"/>
              <w:bidi w:val="0"/>
              <w:rPr>
                <w:rFonts w:hint="default"/>
                <w:lang w:val="en-US" w:eastAsia="zh-CN"/>
              </w:rPr>
            </w:pPr>
            <w:r>
              <w:rPr>
                <w:rFonts w:hint="eastAsia"/>
                <w:lang w:val="en-US" w:eastAsia="zh-CN"/>
              </w:rPr>
              <w:t>商业服务业用地</w:t>
            </w:r>
          </w:p>
        </w:tc>
        <w:tc>
          <w:tcPr>
            <w:tcW w:w="1974" w:type="dxa"/>
            <w:noWrap w:val="0"/>
            <w:vAlign w:val="center"/>
          </w:tcPr>
          <w:p>
            <w:pPr>
              <w:pStyle w:val="26"/>
              <w:bidi w:val="0"/>
              <w:rPr>
                <w:rFonts w:hint="default"/>
                <w:lang w:val="en-US" w:eastAsia="zh-CN"/>
              </w:rPr>
            </w:pPr>
            <w:r>
              <w:rPr>
                <w:rFonts w:hint="default"/>
                <w:lang w:val="en-US" w:eastAsia="zh-CN"/>
              </w:rPr>
              <w:t>Ⅰ级</w:t>
            </w:r>
          </w:p>
        </w:tc>
        <w:tc>
          <w:tcPr>
            <w:tcW w:w="4759" w:type="dxa"/>
            <w:noWrap w:val="0"/>
            <w:vAlign w:val="center"/>
          </w:tcPr>
          <w:p>
            <w:pPr>
              <w:pStyle w:val="26"/>
              <w:bidi w:val="0"/>
              <w:rPr>
                <w:rFonts w:hint="default"/>
                <w:lang w:val="en-US" w:eastAsia="zh-CN"/>
              </w:rPr>
            </w:pPr>
            <w:bookmarkStart w:id="14" w:name="OLE_LINK8"/>
            <w:r>
              <w:rPr>
                <w:rFonts w:hint="default"/>
                <w:lang w:val="en-US" w:eastAsia="zh-CN"/>
              </w:rPr>
              <w:t>y=-0.</w:t>
            </w:r>
            <w:r>
              <w:rPr>
                <w:rFonts w:hint="eastAsia"/>
                <w:lang w:val="en-US" w:eastAsia="zh-CN"/>
              </w:rPr>
              <w:t>8443</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1343.56</w:t>
            </w:r>
            <w:r>
              <w:rPr>
                <w:rFonts w:hint="default"/>
                <w:lang w:val="en-US" w:eastAsia="zh-CN"/>
              </w:rPr>
              <w:t>x+</w:t>
            </w:r>
            <w:bookmarkEnd w:id="14"/>
            <w:r>
              <w:rPr>
                <w:rFonts w:hint="eastAsia"/>
                <w:lang w:val="en-US" w:eastAsia="zh-CN"/>
              </w:rPr>
              <w:t>572.57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Ⅱ级</w:t>
            </w:r>
          </w:p>
        </w:tc>
        <w:tc>
          <w:tcPr>
            <w:tcW w:w="4759" w:type="dxa"/>
            <w:noWrap w:val="0"/>
            <w:vAlign w:val="center"/>
          </w:tcPr>
          <w:p>
            <w:pPr>
              <w:pStyle w:val="26"/>
              <w:bidi w:val="0"/>
              <w:rPr>
                <w:rFonts w:hint="default"/>
                <w:lang w:val="en-US" w:eastAsia="zh-CN"/>
              </w:rPr>
            </w:pPr>
            <w:r>
              <w:rPr>
                <w:rFonts w:hint="default"/>
                <w:lang w:val="en-US" w:eastAsia="zh-CN"/>
              </w:rPr>
              <w:t>y=-0.</w:t>
            </w:r>
            <w:r>
              <w:rPr>
                <w:rFonts w:hint="eastAsia"/>
                <w:lang w:val="en-US" w:eastAsia="zh-CN"/>
              </w:rPr>
              <w:t>7825</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978.7</w:t>
            </w:r>
            <w:r>
              <w:rPr>
                <w:rFonts w:hint="default"/>
                <w:lang w:val="en-US" w:eastAsia="zh-CN"/>
              </w:rPr>
              <w:t>x+</w:t>
            </w:r>
            <w:r>
              <w:rPr>
                <w:rFonts w:hint="eastAsia"/>
                <w:lang w:val="en-US" w:eastAsia="zh-CN"/>
              </w:rPr>
              <w:t>509.8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Ⅲ级</w:t>
            </w:r>
          </w:p>
        </w:tc>
        <w:tc>
          <w:tcPr>
            <w:tcW w:w="4759" w:type="dxa"/>
            <w:noWrap w:val="0"/>
            <w:vAlign w:val="center"/>
          </w:tcPr>
          <w:p>
            <w:pPr>
              <w:pStyle w:val="26"/>
              <w:bidi w:val="0"/>
              <w:rPr>
                <w:rFonts w:hint="default"/>
                <w:lang w:val="en-US" w:eastAsia="zh-CN"/>
              </w:rPr>
            </w:pPr>
            <w:r>
              <w:rPr>
                <w:rFonts w:hint="default"/>
                <w:lang w:val="en-US" w:eastAsia="zh-CN"/>
              </w:rPr>
              <w:t>y=-0.74</w:t>
            </w:r>
            <w:r>
              <w:rPr>
                <w:rFonts w:hint="eastAsia"/>
                <w:lang w:val="en-US" w:eastAsia="zh-CN"/>
              </w:rPr>
              <w:t>21</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638.87</w:t>
            </w:r>
            <w:r>
              <w:rPr>
                <w:rFonts w:hint="default"/>
                <w:lang w:val="en-US" w:eastAsia="zh-CN"/>
              </w:rPr>
              <w:t>x+</w:t>
            </w:r>
            <w:r>
              <w:rPr>
                <w:rFonts w:hint="eastAsia"/>
                <w:lang w:val="en-US" w:eastAsia="zh-CN"/>
              </w:rPr>
              <w:t>535.33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Ⅳ级</w:t>
            </w:r>
          </w:p>
        </w:tc>
        <w:tc>
          <w:tcPr>
            <w:tcW w:w="4759" w:type="dxa"/>
            <w:noWrap w:val="0"/>
            <w:vAlign w:val="center"/>
          </w:tcPr>
          <w:p>
            <w:pPr>
              <w:pStyle w:val="26"/>
              <w:bidi w:val="0"/>
              <w:rPr>
                <w:rFonts w:hint="default"/>
                <w:lang w:val="en-US" w:eastAsia="zh-CN"/>
              </w:rPr>
            </w:pPr>
            <w:r>
              <w:rPr>
                <w:rFonts w:hint="default"/>
                <w:lang w:val="en-US" w:eastAsia="zh-CN"/>
              </w:rPr>
              <w:t>y=-0.7</w:t>
            </w:r>
            <w:r>
              <w:rPr>
                <w:rFonts w:hint="eastAsia"/>
                <w:lang w:val="en-US" w:eastAsia="zh-CN"/>
              </w:rPr>
              <w:t>253</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380.32</w:t>
            </w:r>
            <w:r>
              <w:rPr>
                <w:rFonts w:hint="default"/>
                <w:lang w:val="en-US" w:eastAsia="zh-CN"/>
              </w:rPr>
              <w:t>x+</w:t>
            </w:r>
            <w:r>
              <w:rPr>
                <w:rFonts w:hint="eastAsia"/>
                <w:lang w:val="en-US" w:eastAsia="zh-CN"/>
              </w:rPr>
              <w:t>429.74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Ⅴ级</w:t>
            </w:r>
          </w:p>
        </w:tc>
        <w:tc>
          <w:tcPr>
            <w:tcW w:w="4759" w:type="dxa"/>
            <w:noWrap w:val="0"/>
            <w:vAlign w:val="center"/>
          </w:tcPr>
          <w:p>
            <w:pPr>
              <w:pStyle w:val="26"/>
              <w:bidi w:val="0"/>
              <w:rPr>
                <w:rFonts w:hint="default"/>
                <w:lang w:val="en-US" w:eastAsia="zh-CN"/>
              </w:rPr>
            </w:pPr>
            <w:r>
              <w:rPr>
                <w:rFonts w:hint="default"/>
                <w:lang w:val="en-US" w:eastAsia="zh-CN"/>
              </w:rPr>
              <w:t>y=-0.6</w:t>
            </w:r>
            <w:r>
              <w:rPr>
                <w:rFonts w:hint="eastAsia"/>
                <w:lang w:val="en-US" w:eastAsia="zh-CN"/>
              </w:rPr>
              <w:t>737</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178.05</w:t>
            </w:r>
            <w:r>
              <w:rPr>
                <w:rFonts w:hint="default"/>
                <w:lang w:val="en-US" w:eastAsia="zh-CN"/>
              </w:rPr>
              <w:t>x+</w:t>
            </w:r>
            <w:r>
              <w:rPr>
                <w:rFonts w:hint="eastAsia"/>
                <w:lang w:val="en-US" w:eastAsia="zh-CN"/>
              </w:rPr>
              <w:t>358.11</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根据以上容积率地价函数关系，测算各容积率下地价与平均容积率下的地价比值作为修正系数，则</w:t>
      </w:r>
      <w:r>
        <w:rPr>
          <w:rFonts w:hint="eastAsia"/>
          <w:sz w:val="18"/>
          <w:lang w:val="en-US" w:eastAsia="zh-CN"/>
        </w:rPr>
        <w:t>商服</w:t>
      </w:r>
      <w:r>
        <w:rPr>
          <w:rFonts w:hint="default"/>
          <w:sz w:val="18"/>
          <w:lang w:val="en-US" w:eastAsia="zh-CN"/>
        </w:rPr>
        <w:t>用地部分容积率修正系数见表</w:t>
      </w:r>
      <w:r>
        <w:rPr>
          <w:rFonts w:hint="eastAsia"/>
          <w:sz w:val="18"/>
          <w:highlight w:val="none"/>
          <w:lang w:val="en-US" w:eastAsia="zh-CN"/>
        </w:rPr>
        <w:t>4-2-12</w:t>
      </w:r>
      <w:r>
        <w:rPr>
          <w:rFonts w:hint="default"/>
          <w:sz w:val="18"/>
          <w:highlight w:val="none"/>
          <w:lang w:val="en-US" w:eastAsia="zh-CN"/>
        </w:rPr>
        <w:t>。如容积率不为整数可利用内插法求取修正系数；如容积率不在表</w:t>
      </w:r>
      <w:r>
        <w:rPr>
          <w:rFonts w:hint="eastAsia"/>
          <w:sz w:val="18"/>
          <w:highlight w:val="none"/>
          <w:lang w:val="en-US" w:eastAsia="zh-CN"/>
        </w:rPr>
        <w:t>4-2-12</w:t>
      </w:r>
      <w:r>
        <w:rPr>
          <w:rFonts w:hint="default"/>
          <w:sz w:val="18"/>
          <w:highlight w:val="none"/>
          <w:lang w:val="en-US" w:eastAsia="zh-CN"/>
        </w:rPr>
        <w:t>范围内，则可先根据</w:t>
      </w:r>
      <w:r>
        <w:rPr>
          <w:rFonts w:hint="eastAsia"/>
          <w:sz w:val="18"/>
          <w:highlight w:val="none"/>
          <w:lang w:val="en-US" w:eastAsia="zh-CN"/>
        </w:rPr>
        <w:t>4-2-11</w:t>
      </w:r>
      <w:r>
        <w:rPr>
          <w:rFonts w:hint="default"/>
          <w:sz w:val="18"/>
          <w:highlight w:val="none"/>
          <w:lang w:val="en-US" w:eastAsia="zh-CN"/>
        </w:rPr>
        <w:t>的</w:t>
      </w:r>
      <w:r>
        <w:rPr>
          <w:rFonts w:hint="default"/>
          <w:sz w:val="18"/>
          <w:lang w:val="en-US" w:eastAsia="zh-CN"/>
        </w:rPr>
        <w:t>相应公式求取容积率下的地价水平，再与平均容积率下地价水平相比，得出修正系数。</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按照自然资源和规划部门给定的宗地地上容积率（R）结合相应的《容积率修正系数表》确定容积率修正系数。当R1&lt;R&lt;R2（R1、R2为上述修正系数表所列的容积率）时，用下列</w:t>
      </w:r>
      <w:r>
        <w:rPr>
          <w:rFonts w:hint="eastAsia"/>
          <w:sz w:val="18"/>
          <w:lang w:val="en-US" w:eastAsia="zh-CN"/>
        </w:rPr>
        <w:t>公式</w:t>
      </w:r>
      <w:r>
        <w:rPr>
          <w:rFonts w:hint="default"/>
          <w:sz w:val="18"/>
          <w:lang w:val="en-US" w:eastAsia="zh-CN"/>
        </w:rPr>
        <w:t>计算容积率修正系数X=X1+(X2-X1)*(R-R1)/(R2-R1)</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X1是R1对应的容积率修正系数；X2是R2对应的容积率修正系数。</w:t>
      </w:r>
    </w:p>
    <w:p>
      <w:pPr>
        <w:pStyle w:val="27"/>
        <w:bidi w:val="0"/>
        <w:rPr>
          <w:rFonts w:hint="default"/>
          <w:lang w:val="en-US" w:eastAsia="zh-CN"/>
        </w:rPr>
      </w:pPr>
      <w:r>
        <w:rPr>
          <w:rFonts w:hint="default"/>
          <w:lang w:val="en-US" w:eastAsia="zh-CN"/>
        </w:rPr>
        <w:t>表</w:t>
      </w:r>
      <w:r>
        <w:rPr>
          <w:rFonts w:hint="eastAsia"/>
          <w:lang w:val="en-US" w:eastAsia="zh-CN"/>
        </w:rPr>
        <w:t>2-13</w:t>
      </w:r>
      <w:r>
        <w:rPr>
          <w:rFonts w:hint="default"/>
          <w:lang w:val="en-US" w:eastAsia="zh-CN"/>
        </w:rPr>
        <w:t xml:space="preserve"> 随州市</w:t>
      </w:r>
      <w:r>
        <w:rPr>
          <w:rFonts w:hint="eastAsia"/>
          <w:lang w:val="en-US" w:eastAsia="zh-CN"/>
        </w:rPr>
        <w:t>商业服务业用地</w:t>
      </w:r>
      <w:r>
        <w:rPr>
          <w:rFonts w:hint="default"/>
          <w:lang w:val="en-US" w:eastAsia="zh-CN"/>
        </w:rPr>
        <w:t>容积率修正系数表</w:t>
      </w:r>
    </w:p>
    <w:tbl>
      <w:tblPr>
        <w:tblStyle w:val="21"/>
        <w:tblW w:w="0" w:type="auto"/>
        <w:tblInd w:w="0" w:type="dxa"/>
        <w:tblLayout w:type="fixed"/>
        <w:tblCellMar>
          <w:top w:w="0" w:type="dxa"/>
          <w:left w:w="108" w:type="dxa"/>
          <w:bottom w:w="0" w:type="dxa"/>
          <w:right w:w="108" w:type="dxa"/>
        </w:tblCellMar>
      </w:tblPr>
      <w:tblGrid>
        <w:gridCol w:w="1421"/>
        <w:gridCol w:w="1421"/>
        <w:gridCol w:w="1420"/>
        <w:gridCol w:w="1420"/>
        <w:gridCol w:w="1420"/>
        <w:gridCol w:w="1420"/>
      </w:tblGrid>
      <w:tr>
        <w:tblPrEx>
          <w:tblCellMar>
            <w:top w:w="0" w:type="dxa"/>
            <w:left w:w="108" w:type="dxa"/>
            <w:bottom w:w="0" w:type="dxa"/>
            <w:right w:w="108" w:type="dxa"/>
          </w:tblCellMar>
        </w:tblPrEx>
        <w:trPr>
          <w:trHeight w:val="312" w:hRule="atLeast"/>
          <w:tblHeader/>
        </w:trPr>
        <w:tc>
          <w:tcPr>
            <w:tcW w:w="1421" w:type="dxa"/>
            <w:vMerge w:val="restart"/>
            <w:tcBorders>
              <w:top w:val="single" w:color="auto" w:sz="4" w:space="0"/>
              <w:left w:val="single" w:color="auto" w:sz="4" w:space="0"/>
              <w:bottom w:val="single" w:color="auto" w:sz="4" w:space="0"/>
              <w:right w:val="single" w:color="auto" w:sz="4" w:space="0"/>
              <w:tl2br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 xml:space="preserve">    </w:t>
            </w:r>
            <w:r>
              <w:rPr>
                <w:rFonts w:hint="default"/>
                <w:b/>
                <w:bCs/>
                <w:sz w:val="18"/>
                <w:szCs w:val="18"/>
                <w:lang w:val="en-US" w:eastAsia="zh-CN"/>
              </w:rPr>
              <w:t xml:space="preserve">级别   </w:t>
            </w:r>
          </w:p>
          <w:p>
            <w:pPr>
              <w:pStyle w:val="26"/>
              <w:keepNext w:val="0"/>
              <w:keepLines w:val="0"/>
              <w:pageBreakBefore w:val="0"/>
              <w:widowControl/>
              <w:kinsoku/>
              <w:wordWrap/>
              <w:overflowPunct/>
              <w:topLinePunct w:val="0"/>
              <w:autoSpaceDE/>
              <w:autoSpaceDN/>
              <w:bidi w:val="0"/>
              <w:spacing w:line="240" w:lineRule="auto"/>
              <w:ind w:firstLine="0" w:firstLineChars="0"/>
              <w:jc w:val="both"/>
              <w:rPr>
                <w:rFonts w:hint="default"/>
                <w:b/>
                <w:bCs/>
                <w:sz w:val="18"/>
                <w:szCs w:val="18"/>
                <w:lang w:val="en-US" w:eastAsia="zh-CN"/>
              </w:rPr>
            </w:pPr>
            <w:r>
              <w:rPr>
                <w:rFonts w:hint="default"/>
                <w:b/>
                <w:bCs/>
                <w:sz w:val="18"/>
                <w:szCs w:val="18"/>
                <w:lang w:val="en-US" w:eastAsia="zh-CN"/>
              </w:rPr>
              <w:t>容积率</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III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IV</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V</w:t>
            </w:r>
            <w:r>
              <w:rPr>
                <w:rFonts w:hint="default"/>
                <w:b/>
                <w:bCs/>
                <w:sz w:val="18"/>
                <w:szCs w:val="18"/>
                <w:lang w:val="en-US" w:eastAsia="zh-CN"/>
              </w:rPr>
              <w:t>级</w:t>
            </w:r>
          </w:p>
        </w:tc>
      </w:tr>
      <w:tr>
        <w:tblPrEx>
          <w:tblCellMar>
            <w:top w:w="0" w:type="dxa"/>
            <w:left w:w="108" w:type="dxa"/>
            <w:bottom w:w="0" w:type="dxa"/>
            <w:right w:w="108" w:type="dxa"/>
          </w:tblCellMar>
        </w:tblPrEx>
        <w:trPr>
          <w:trHeight w:val="312" w:hRule="atLeast"/>
          <w:tblHeader/>
        </w:trPr>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0.4878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0.5040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0.5515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0.5882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0.6702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0.5220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0.5371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0.5814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0.6157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0.6923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0.5562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0.5702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0.6114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0.6432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0.7144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0.5903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0.6033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0.6413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0.6707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0.7364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0.6245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0.6364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0.6712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0.6982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0.7585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0.6587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0.6695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0.7012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0.7257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0.7805</w:t>
            </w:r>
          </w:p>
        </w:tc>
      </w:tr>
      <w:tr>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0.6928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0.7026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0.7311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0.7532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0.8026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0.7270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0.7356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0.7610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0.7807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0.8246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0.7611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0.7687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0.7909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0.8081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0.8466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0.7952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0.8018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0.8208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0.8356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0.8685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0.8294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0.8348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0.8507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0.8630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0.8905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0.8635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0.8679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0.8805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0.8904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0.9124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0.8976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0.9009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0.9104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0.9178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0.9343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0.9318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0.9339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0.9403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0.9452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0.9562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0.9659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0.9701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0.9726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0.9781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1.0330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1.0298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1.0274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1.0219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1.0682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1.0660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1.0597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1.0547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1.0437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1.1023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1.0991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1.0895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1.0821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1.0655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1.1364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1.1321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1.1193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1.1094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1.0873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1.1705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1.1651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1.1492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1.1367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1.1091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1.2046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1.1981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1.1790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1.1641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1.1309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1.2387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1.2310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1.2088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1.1914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1.1526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1.2728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1.2640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1.2386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1.2187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1.1744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1.3068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1.2970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1.2684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1.2460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1.1961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1.3409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1.3300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1.2981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1.2732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1.2178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1.3750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1.3630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1.3279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1.3005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1.2395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1.4090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1.3959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1.3577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1.3278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1.2611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1.4431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1.4289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1.3875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1.3550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1.2828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1.4772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1.4172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1.3822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1.3044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1.4948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1.3260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1.5453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1.4767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1.4367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1.3476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93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3</w:t>
            </w:r>
            <w:r>
              <w:rPr>
                <w:rFonts w:hint="default" w:ascii="Times New Roman" w:hAnsi="Times New Roman" w:cs="Times New Roman"/>
                <w:sz w:val="18"/>
                <w:szCs w:val="18"/>
                <w:lang w:val="en-US" w:eastAsia="zh-CN"/>
              </w:rPr>
              <w:t>07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1.5064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1.4639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1.3692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56</w:t>
            </w:r>
            <w:r>
              <w:rPr>
                <w:rFonts w:hint="default" w:ascii="Times New Roman" w:hAnsi="Times New Roman" w:cs="Times New Roman"/>
                <w:sz w:val="18"/>
                <w:szCs w:val="18"/>
                <w:lang w:val="en-US" w:eastAsia="zh-CN"/>
              </w:rPr>
              <w:t>33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4</w:t>
            </w:r>
            <w:r>
              <w:rPr>
                <w:rFonts w:hint="default" w:ascii="Times New Roman" w:hAnsi="Times New Roman" w:cs="Times New Roman"/>
                <w:sz w:val="18"/>
                <w:szCs w:val="18"/>
                <w:lang w:val="en-US" w:eastAsia="zh-CN"/>
              </w:rPr>
              <w:t>36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1</w:t>
            </w:r>
            <w:r>
              <w:rPr>
                <w:rFonts w:hint="default" w:ascii="Times New Roman" w:hAnsi="Times New Roman" w:cs="Times New Roman"/>
                <w:sz w:val="18"/>
                <w:szCs w:val="18"/>
                <w:lang w:val="en-US" w:eastAsia="zh-CN"/>
              </w:rPr>
              <w:t>62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r>
              <w:rPr>
                <w:rFonts w:hint="eastAsia" w:ascii="Times New Roman" w:hAnsi="Times New Roman" w:cs="Times New Roman"/>
                <w:sz w:val="18"/>
                <w:szCs w:val="18"/>
                <w:lang w:val="en-US" w:eastAsia="zh-CN"/>
              </w:rPr>
              <w:t>7</w:t>
            </w:r>
            <w:r>
              <w:rPr>
                <w:rFonts w:hint="default" w:ascii="Times New Roman" w:hAnsi="Times New Roman" w:cs="Times New Roman"/>
                <w:sz w:val="18"/>
                <w:szCs w:val="18"/>
                <w:lang w:val="en-US" w:eastAsia="zh-CN"/>
              </w:rPr>
              <w:t>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1.3908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57</w:t>
            </w:r>
            <w:r>
              <w:rPr>
                <w:rFonts w:hint="default" w:ascii="Times New Roman" w:hAnsi="Times New Roman" w:cs="Times New Roman"/>
                <w:sz w:val="18"/>
                <w:szCs w:val="18"/>
                <w:lang w:val="en-US" w:eastAsia="zh-CN"/>
              </w:rPr>
              <w:t>74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55</w:t>
            </w:r>
            <w:r>
              <w:rPr>
                <w:rFonts w:hint="default" w:ascii="Times New Roman" w:hAnsi="Times New Roman" w:cs="Times New Roman"/>
                <w:sz w:val="18"/>
                <w:szCs w:val="18"/>
                <w:lang w:val="en-US" w:eastAsia="zh-CN"/>
              </w:rPr>
              <w:t>65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2</w:t>
            </w:r>
            <w:r>
              <w:rPr>
                <w:rFonts w:hint="default" w:ascii="Times New Roman" w:hAnsi="Times New Roman" w:cs="Times New Roman"/>
                <w:sz w:val="18"/>
                <w:szCs w:val="18"/>
                <w:lang w:val="en-US" w:eastAsia="zh-CN"/>
              </w:rPr>
              <w:t>59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48</w:t>
            </w:r>
            <w:r>
              <w:rPr>
                <w:rFonts w:hint="default" w:ascii="Times New Roman" w:hAnsi="Times New Roman" w:cs="Times New Roman"/>
                <w:sz w:val="18"/>
                <w:szCs w:val="18"/>
                <w:lang w:val="en-US" w:eastAsia="zh-CN"/>
              </w:rPr>
              <w:t>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1.4123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814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56</w:t>
            </w:r>
            <w:r>
              <w:rPr>
                <w:rFonts w:hint="default" w:ascii="Times New Roman" w:hAnsi="Times New Roman" w:cs="Times New Roman"/>
                <w:sz w:val="18"/>
                <w:szCs w:val="18"/>
                <w:lang w:val="en-US" w:eastAsia="zh-CN"/>
              </w:rPr>
              <w:t>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3</w:t>
            </w:r>
            <w:r>
              <w:rPr>
                <w:rFonts w:hint="default" w:ascii="Times New Roman" w:hAnsi="Times New Roman" w:cs="Times New Roman"/>
                <w:sz w:val="18"/>
                <w:szCs w:val="18"/>
                <w:lang w:val="en-US" w:eastAsia="zh-CN"/>
              </w:rPr>
              <w:t>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49</w:t>
            </w:r>
            <w:r>
              <w:rPr>
                <w:rFonts w:hint="default" w:ascii="Times New Roman" w:hAnsi="Times New Roman" w:cs="Times New Roman"/>
                <w:sz w:val="18"/>
                <w:szCs w:val="18"/>
                <w:lang w:val="en-US" w:eastAsia="zh-CN"/>
              </w:rPr>
              <w:t>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r>
              <w:rPr>
                <w:rFonts w:hint="eastAsia" w:ascii="Times New Roman" w:hAnsi="Times New Roman" w:cs="Times New Roman"/>
                <w:sz w:val="18"/>
                <w:szCs w:val="18"/>
                <w:lang w:val="en-US" w:eastAsia="zh-CN"/>
              </w:rPr>
              <w:t>2</w:t>
            </w:r>
            <w:r>
              <w:rPr>
                <w:rFonts w:hint="default" w:ascii="Times New Roman" w:hAnsi="Times New Roman" w:cs="Times New Roman"/>
                <w:sz w:val="18"/>
                <w:szCs w:val="18"/>
                <w:lang w:val="en-US" w:eastAsia="zh-CN"/>
              </w:rPr>
              <w:t>39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59</w:t>
            </w:r>
            <w:r>
              <w:rPr>
                <w:rFonts w:hint="default" w:ascii="Times New Roman" w:hAnsi="Times New Roman" w:cs="Times New Roman"/>
                <w:sz w:val="18"/>
                <w:szCs w:val="18"/>
                <w:lang w:val="en-US" w:eastAsia="zh-CN"/>
              </w:rPr>
              <w:t>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57</w:t>
            </w:r>
            <w:r>
              <w:rPr>
                <w:rFonts w:hint="default" w:ascii="Times New Roman" w:hAnsi="Times New Roman" w:cs="Times New Roman"/>
                <w:sz w:val="18"/>
                <w:szCs w:val="18"/>
                <w:lang w:val="en-US" w:eastAsia="zh-CN"/>
              </w:rPr>
              <w:t>24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54</w:t>
            </w:r>
            <w:r>
              <w:rPr>
                <w:rFonts w:hint="default" w:ascii="Times New Roman" w:hAnsi="Times New Roman" w:cs="Times New Roman"/>
                <w:sz w:val="18"/>
                <w:szCs w:val="18"/>
                <w:lang w:val="en-US" w:eastAsia="zh-CN"/>
              </w:rPr>
              <w:t>53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0</w:t>
            </w:r>
            <w:r>
              <w:rPr>
                <w:rFonts w:hint="default" w:ascii="Times New Roman" w:hAnsi="Times New Roman" w:cs="Times New Roman"/>
                <w:sz w:val="18"/>
                <w:szCs w:val="18"/>
                <w:lang w:val="en-US" w:eastAsia="zh-CN"/>
              </w:rPr>
              <w:t>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r>
              <w:rPr>
                <w:rFonts w:hint="eastAsia" w:ascii="Times New Roman" w:hAnsi="Times New Roman" w:cs="Times New Roman"/>
                <w:sz w:val="18"/>
                <w:szCs w:val="18"/>
                <w:lang w:val="en-US" w:eastAsia="zh-CN"/>
              </w:rPr>
              <w:t>3</w:t>
            </w:r>
            <w:r>
              <w:rPr>
                <w:rFonts w:hint="default" w:ascii="Times New Roman" w:hAnsi="Times New Roman" w:cs="Times New Roman"/>
                <w:sz w:val="18"/>
                <w:szCs w:val="18"/>
                <w:lang w:val="en-US" w:eastAsia="zh-CN"/>
              </w:rPr>
              <w:t>54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60</w:t>
            </w:r>
            <w:r>
              <w:rPr>
                <w:rFonts w:hint="default" w:ascii="Times New Roman" w:hAnsi="Times New Roman" w:cs="Times New Roman"/>
                <w:sz w:val="18"/>
                <w:szCs w:val="18"/>
                <w:lang w:val="en-US" w:eastAsia="zh-CN"/>
              </w:rPr>
              <w:t>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58</w:t>
            </w:r>
            <w:r>
              <w:rPr>
                <w:rFonts w:hint="default" w:ascii="Times New Roman" w:hAnsi="Times New Roman" w:cs="Times New Roman"/>
                <w:sz w:val="18"/>
                <w:szCs w:val="18"/>
                <w:lang w:val="en-US" w:eastAsia="zh-CN"/>
              </w:rPr>
              <w:t>53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55</w:t>
            </w:r>
            <w:r>
              <w:rPr>
                <w:rFonts w:hint="default" w:ascii="Times New Roman" w:hAnsi="Times New Roman" w:cs="Times New Roman"/>
                <w:sz w:val="18"/>
                <w:szCs w:val="18"/>
                <w:lang w:val="en-US" w:eastAsia="zh-CN"/>
              </w:rPr>
              <w:t>50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r>
              <w:rPr>
                <w:rFonts w:hint="eastAsia" w:ascii="Times New Roman" w:hAnsi="Times New Roman" w:cs="Times New Roman"/>
                <w:sz w:val="18"/>
                <w:szCs w:val="18"/>
                <w:lang w:val="en-US" w:eastAsia="zh-CN"/>
              </w:rPr>
              <w:t>1</w:t>
            </w:r>
            <w:r>
              <w:rPr>
                <w:rFonts w:hint="default" w:ascii="Times New Roman" w:hAnsi="Times New Roman" w:cs="Times New Roman"/>
                <w:sz w:val="18"/>
                <w:szCs w:val="18"/>
                <w:lang w:val="en-US" w:eastAsia="zh-CN"/>
              </w:rPr>
              <w:t>97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r>
              <w:rPr>
                <w:rFonts w:hint="eastAsia" w:ascii="Times New Roman" w:hAnsi="Times New Roman" w:cs="Times New Roman"/>
                <w:sz w:val="18"/>
                <w:szCs w:val="18"/>
                <w:lang w:val="en-US" w:eastAsia="zh-CN"/>
              </w:rPr>
              <w:t>4</w:t>
            </w:r>
            <w:r>
              <w:rPr>
                <w:rFonts w:hint="default" w:ascii="Times New Roman" w:hAnsi="Times New Roman" w:cs="Times New Roman"/>
                <w:sz w:val="18"/>
                <w:szCs w:val="18"/>
                <w:lang w:val="en-US" w:eastAsia="zh-CN"/>
              </w:rPr>
              <w:t>69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61</w:t>
            </w:r>
            <w:r>
              <w:rPr>
                <w:rFonts w:hint="default" w:ascii="Times New Roman" w:hAnsi="Times New Roman" w:cs="Times New Roman"/>
                <w:sz w:val="18"/>
                <w:szCs w:val="18"/>
                <w:lang w:val="en-US" w:eastAsia="zh-CN"/>
              </w:rPr>
              <w:t>35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59</w:t>
            </w:r>
            <w:r>
              <w:rPr>
                <w:rFonts w:hint="default" w:ascii="Times New Roman" w:hAnsi="Times New Roman" w:cs="Times New Roman"/>
                <w:sz w:val="18"/>
                <w:szCs w:val="18"/>
                <w:lang w:val="en-US" w:eastAsia="zh-CN"/>
              </w:rPr>
              <w:t>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56</w:t>
            </w:r>
            <w:r>
              <w:rPr>
                <w:rFonts w:hint="default" w:ascii="Times New Roman" w:hAnsi="Times New Roman" w:cs="Times New Roman"/>
                <w:sz w:val="18"/>
                <w:szCs w:val="18"/>
                <w:lang w:val="en-US" w:eastAsia="zh-CN"/>
              </w:rPr>
              <w:t>47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52</w:t>
            </w:r>
            <w:r>
              <w:rPr>
                <w:rFonts w:hint="default" w:ascii="Times New Roman" w:hAnsi="Times New Roman" w:cs="Times New Roman"/>
                <w:sz w:val="18"/>
                <w:szCs w:val="18"/>
                <w:lang w:val="en-US" w:eastAsia="zh-CN"/>
              </w:rPr>
              <w:t>69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r>
              <w:rPr>
                <w:rFonts w:hint="eastAsia"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84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62</w:t>
            </w:r>
            <w:r>
              <w:rPr>
                <w:rFonts w:hint="default" w:ascii="Times New Roman" w:hAnsi="Times New Roman" w:cs="Times New Roman"/>
                <w:sz w:val="18"/>
                <w:szCs w:val="18"/>
                <w:lang w:val="en-US" w:eastAsia="zh-CN"/>
              </w:rPr>
              <w:t>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60</w:t>
            </w:r>
            <w:r>
              <w:rPr>
                <w:rFonts w:hint="default" w:ascii="Times New Roman" w:hAnsi="Times New Roman" w:cs="Times New Roman"/>
                <w:sz w:val="18"/>
                <w:szCs w:val="18"/>
                <w:lang w:val="en-US" w:eastAsia="zh-CN"/>
              </w:rPr>
              <w:t>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57</w:t>
            </w:r>
            <w:r>
              <w:rPr>
                <w:rFonts w:hint="default" w:ascii="Times New Roman" w:hAnsi="Times New Roman" w:cs="Times New Roman"/>
                <w:sz w:val="18"/>
                <w:szCs w:val="18"/>
                <w:lang w:val="en-US" w:eastAsia="zh-CN"/>
              </w:rPr>
              <w:t>44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53</w:t>
            </w:r>
            <w:r>
              <w:rPr>
                <w:rFonts w:hint="default" w:ascii="Times New Roman" w:hAnsi="Times New Roman" w:cs="Times New Roman"/>
                <w:sz w:val="18"/>
                <w:szCs w:val="18"/>
                <w:lang w:val="en-US" w:eastAsia="zh-CN"/>
              </w:rPr>
              <w:t>40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46</w:t>
            </w:r>
            <w:r>
              <w:rPr>
                <w:rFonts w:hint="default" w:ascii="Times New Roman" w:hAnsi="Times New Roman" w:cs="Times New Roman"/>
                <w:sz w:val="18"/>
                <w:szCs w:val="18"/>
                <w:lang w:val="en-US" w:eastAsia="zh-CN"/>
              </w:rPr>
              <w:t>98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63</w:t>
            </w:r>
            <w:r>
              <w:rPr>
                <w:rFonts w:hint="default" w:ascii="Times New Roman" w:hAnsi="Times New Roman" w:cs="Times New Roman"/>
                <w:sz w:val="18"/>
                <w:szCs w:val="18"/>
                <w:lang w:val="en-US" w:eastAsia="zh-CN"/>
              </w:rPr>
              <w:t>15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61</w:t>
            </w:r>
            <w:r>
              <w:rPr>
                <w:rFonts w:hint="default" w:ascii="Times New Roman" w:hAnsi="Times New Roman" w:cs="Times New Roman"/>
                <w:sz w:val="18"/>
                <w:szCs w:val="18"/>
                <w:lang w:val="en-US" w:eastAsia="zh-CN"/>
              </w:rPr>
              <w:t>40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58</w:t>
            </w:r>
            <w:r>
              <w:rPr>
                <w:rFonts w:hint="default" w:ascii="Times New Roman" w:hAnsi="Times New Roman" w:cs="Times New Roman"/>
                <w:sz w:val="18"/>
                <w:szCs w:val="18"/>
                <w:lang w:val="en-US" w:eastAsia="zh-CN"/>
              </w:rPr>
              <w:t>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54</w:t>
            </w:r>
            <w:r>
              <w:rPr>
                <w:rFonts w:hint="default" w:ascii="Times New Roman" w:hAnsi="Times New Roman" w:cs="Times New Roman"/>
                <w:sz w:val="18"/>
                <w:szCs w:val="18"/>
                <w:lang w:val="en-US" w:eastAsia="zh-CN"/>
              </w:rPr>
              <w:t>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47</w:t>
            </w:r>
            <w:r>
              <w:rPr>
                <w:rFonts w:hint="default" w:ascii="Times New Roman" w:hAnsi="Times New Roman" w:cs="Times New Roman"/>
                <w:sz w:val="18"/>
                <w:szCs w:val="18"/>
                <w:lang w:val="en-US" w:eastAsia="zh-CN"/>
              </w:rPr>
              <w:t>13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64</w:t>
            </w:r>
            <w:r>
              <w:rPr>
                <w:rFonts w:hint="default" w:ascii="Times New Roman" w:hAnsi="Times New Roman" w:cs="Times New Roman"/>
                <w:sz w:val="18"/>
                <w:szCs w:val="18"/>
                <w:lang w:val="en-US" w:eastAsia="zh-CN"/>
              </w:rPr>
              <w:t>55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62</w:t>
            </w:r>
            <w:r>
              <w:rPr>
                <w:rFonts w:hint="default" w:ascii="Times New Roman" w:hAnsi="Times New Roman" w:cs="Times New Roman"/>
                <w:sz w:val="18"/>
                <w:szCs w:val="18"/>
                <w:lang w:val="en-US" w:eastAsia="zh-CN"/>
              </w:rPr>
              <w:t>69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59</w:t>
            </w:r>
            <w:r>
              <w:rPr>
                <w:rFonts w:hint="default" w:ascii="Times New Roman" w:hAnsi="Times New Roman" w:cs="Times New Roman"/>
                <w:sz w:val="18"/>
                <w:szCs w:val="18"/>
                <w:lang w:val="en-US" w:eastAsia="zh-CN"/>
              </w:rPr>
              <w:t>37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55</w:t>
            </w:r>
            <w:r>
              <w:rPr>
                <w:rFonts w:hint="default" w:ascii="Times New Roman" w:hAnsi="Times New Roman" w:cs="Times New Roman"/>
                <w:sz w:val="18"/>
                <w:szCs w:val="18"/>
                <w:lang w:val="en-US" w:eastAsia="zh-CN"/>
              </w:rPr>
              <w:t>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48</w:t>
            </w:r>
            <w:r>
              <w:rPr>
                <w:rFonts w:hint="default" w:ascii="Times New Roman" w:hAnsi="Times New Roman" w:cs="Times New Roman"/>
                <w:sz w:val="18"/>
                <w:szCs w:val="18"/>
                <w:lang w:val="en-US" w:eastAsia="zh-CN"/>
              </w:rPr>
              <w:t>27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65</w:t>
            </w:r>
            <w:r>
              <w:rPr>
                <w:rFonts w:hint="default" w:ascii="Times New Roman" w:hAnsi="Times New Roman" w:cs="Times New Roman"/>
                <w:sz w:val="18"/>
                <w:szCs w:val="18"/>
                <w:lang w:val="en-US" w:eastAsia="zh-CN"/>
              </w:rPr>
              <w:t>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63</w:t>
            </w:r>
            <w:r>
              <w:rPr>
                <w:rFonts w:hint="default" w:ascii="Times New Roman" w:hAnsi="Times New Roman" w:cs="Times New Roman"/>
                <w:sz w:val="18"/>
                <w:szCs w:val="18"/>
                <w:lang w:val="en-US" w:eastAsia="zh-CN"/>
              </w:rPr>
              <w:t>97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034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56</w:t>
            </w:r>
            <w:r>
              <w:rPr>
                <w:rFonts w:hint="default" w:ascii="Times New Roman" w:hAnsi="Times New Roman" w:cs="Times New Roman"/>
                <w:sz w:val="18"/>
                <w:szCs w:val="18"/>
                <w:lang w:val="en-US" w:eastAsia="zh-CN"/>
              </w:rPr>
              <w:t>53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49</w:t>
            </w:r>
            <w:r>
              <w:rPr>
                <w:rFonts w:hint="default" w:ascii="Times New Roman" w:hAnsi="Times New Roman" w:cs="Times New Roman"/>
                <w:sz w:val="18"/>
                <w:szCs w:val="18"/>
                <w:lang w:val="en-US" w:eastAsia="zh-CN"/>
              </w:rPr>
              <w:t>41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66</w:t>
            </w:r>
            <w:r>
              <w:rPr>
                <w:rFonts w:hint="default" w:ascii="Times New Roman" w:hAnsi="Times New Roman" w:cs="Times New Roman"/>
                <w:sz w:val="18"/>
                <w:szCs w:val="18"/>
                <w:lang w:val="en-US" w:eastAsia="zh-CN"/>
              </w:rPr>
              <w:t>35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64</w:t>
            </w:r>
            <w:r>
              <w:rPr>
                <w:rFonts w:hint="default" w:ascii="Times New Roman" w:hAnsi="Times New Roman" w:cs="Times New Roman"/>
                <w:sz w:val="18"/>
                <w:szCs w:val="18"/>
                <w:lang w:val="en-US" w:eastAsia="zh-CN"/>
              </w:rPr>
              <w:t>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61</w:t>
            </w:r>
            <w:r>
              <w:rPr>
                <w:rFonts w:hint="default" w:ascii="Times New Roman" w:hAnsi="Times New Roman" w:cs="Times New Roman"/>
                <w:sz w:val="18"/>
                <w:szCs w:val="18"/>
                <w:lang w:val="en-US" w:eastAsia="zh-CN"/>
              </w:rPr>
              <w:t>31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57</w:t>
            </w:r>
            <w:r>
              <w:rPr>
                <w:rFonts w:hint="default" w:ascii="Times New Roman" w:hAnsi="Times New Roman" w:cs="Times New Roman"/>
                <w:sz w:val="18"/>
                <w:szCs w:val="18"/>
                <w:lang w:val="en-US" w:eastAsia="zh-CN"/>
              </w:rPr>
              <w:t>24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055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67</w:t>
            </w:r>
            <w:r>
              <w:rPr>
                <w:rFonts w:hint="default" w:ascii="Times New Roman" w:hAnsi="Times New Roman" w:cs="Times New Roman"/>
                <w:sz w:val="18"/>
                <w:szCs w:val="18"/>
                <w:lang w:val="en-US" w:eastAsia="zh-CN"/>
              </w:rPr>
              <w:t>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65</w:t>
            </w:r>
            <w:r>
              <w:rPr>
                <w:rFonts w:hint="default" w:ascii="Times New Roman" w:hAnsi="Times New Roman" w:cs="Times New Roman"/>
                <w:sz w:val="18"/>
                <w:szCs w:val="18"/>
                <w:lang w:val="en-US" w:eastAsia="zh-CN"/>
              </w:rPr>
              <w:t>55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62</w:t>
            </w:r>
            <w:r>
              <w:rPr>
                <w:rFonts w:hint="default" w:ascii="Times New Roman" w:hAnsi="Times New Roman" w:cs="Times New Roman"/>
                <w:sz w:val="18"/>
                <w:szCs w:val="18"/>
                <w:lang w:val="en-US" w:eastAsia="zh-CN"/>
              </w:rPr>
              <w:t>27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895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51</w:t>
            </w:r>
            <w:r>
              <w:rPr>
                <w:rFonts w:hint="default" w:ascii="Times New Roman" w:hAnsi="Times New Roman" w:cs="Times New Roman"/>
                <w:sz w:val="18"/>
                <w:szCs w:val="18"/>
                <w:lang w:val="en-US" w:eastAsia="zh-CN"/>
              </w:rPr>
              <w:t>69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w:t>
            </w:r>
            <w:r>
              <w:rPr>
                <w:rFonts w:hint="default" w:ascii="Times New Roman" w:hAnsi="Times New Roman" w:cs="Times New Roman"/>
                <w:sz w:val="18"/>
                <w:szCs w:val="18"/>
                <w:lang w:val="en-US" w:eastAsia="zh-CN"/>
              </w:rPr>
              <w:t>.</w:t>
            </w:r>
            <w:r>
              <w:rPr>
                <w:rFonts w:hint="eastAsia" w:ascii="Times New Roman" w:hAnsi="Times New Roman" w:cs="Times New Roman"/>
                <w:sz w:val="18"/>
                <w:szCs w:val="18"/>
                <w:lang w:val="en-US" w:eastAsia="zh-CN"/>
              </w:rPr>
              <w:t>68</w:t>
            </w:r>
            <w:r>
              <w:rPr>
                <w:rFonts w:hint="default" w:ascii="Times New Roman" w:hAnsi="Times New Roman" w:cs="Times New Roman"/>
                <w:sz w:val="18"/>
                <w:szCs w:val="18"/>
                <w:lang w:val="en-US" w:eastAsia="zh-CN"/>
              </w:rPr>
              <w:t>15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66</w:t>
            </w:r>
            <w:r>
              <w:rPr>
                <w:rFonts w:hint="default" w:ascii="Times New Roman" w:hAnsi="Times New Roman" w:cs="Times New Roman"/>
                <w:sz w:val="18"/>
                <w:szCs w:val="18"/>
                <w:lang w:val="en-US" w:eastAsia="zh-CN"/>
              </w:rPr>
              <w:t>84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63</w:t>
            </w:r>
            <w:r>
              <w:rPr>
                <w:rFonts w:hint="default" w:ascii="Times New Roman" w:hAnsi="Times New Roman" w:cs="Times New Roman"/>
                <w:sz w:val="18"/>
                <w:szCs w:val="18"/>
                <w:lang w:val="en-US" w:eastAsia="zh-CN"/>
              </w:rPr>
              <w:t>23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59</w:t>
            </w:r>
            <w:r>
              <w:rPr>
                <w:rFonts w:hint="default" w:ascii="Times New Roman" w:hAnsi="Times New Roman" w:cs="Times New Roman"/>
                <w:sz w:val="18"/>
                <w:szCs w:val="18"/>
                <w:lang w:val="en-US" w:eastAsia="zh-CN"/>
              </w:rPr>
              <w:t>65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52</w:t>
            </w:r>
            <w:r>
              <w:rPr>
                <w:rFonts w:hint="default" w:ascii="Times New Roman" w:hAnsi="Times New Roman" w:cs="Times New Roman"/>
                <w:sz w:val="18"/>
                <w:szCs w:val="18"/>
                <w:lang w:val="en-US" w:eastAsia="zh-CN"/>
              </w:rPr>
              <w:t>83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w:t>
            </w:r>
            <w:r>
              <w:rPr>
                <w:rFonts w:hint="default" w:ascii="Times New Roman" w:hAnsi="Times New Roman" w:cs="Times New Roman"/>
                <w:sz w:val="18"/>
                <w:szCs w:val="18"/>
                <w:lang w:val="en-US" w:eastAsia="zh-CN"/>
              </w:rPr>
              <w:t>.</w:t>
            </w:r>
            <w:r>
              <w:rPr>
                <w:rFonts w:hint="eastAsia" w:ascii="Times New Roman" w:hAnsi="Times New Roman" w:cs="Times New Roman"/>
                <w:sz w:val="18"/>
                <w:szCs w:val="18"/>
                <w:lang w:val="en-US" w:eastAsia="zh-CN"/>
              </w:rPr>
              <w:t>69</w:t>
            </w:r>
            <w:r>
              <w:rPr>
                <w:rFonts w:hint="default" w:ascii="Times New Roman" w:hAnsi="Times New Roman" w:cs="Times New Roman"/>
                <w:sz w:val="18"/>
                <w:szCs w:val="18"/>
                <w:lang w:val="en-US" w:eastAsia="zh-CN"/>
              </w:rPr>
              <w:t>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1.67</w:t>
            </w:r>
            <w:r>
              <w:rPr>
                <w:rFonts w:hint="default" w:ascii="Times New Roman" w:hAnsi="Times New Roman" w:cs="Times New Roman"/>
                <w:sz w:val="18"/>
                <w:szCs w:val="18"/>
                <w:lang w:val="en-US" w:eastAsia="zh-CN"/>
              </w:rPr>
              <w:t>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64</w:t>
            </w:r>
            <w:r>
              <w:rPr>
                <w:rFonts w:hint="default" w:ascii="Times New Roman" w:hAnsi="Times New Roman" w:cs="Times New Roman"/>
                <w:sz w:val="18"/>
                <w:szCs w:val="18"/>
                <w:lang w:val="en-US" w:eastAsia="zh-CN"/>
              </w:rPr>
              <w:t>20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60</w:t>
            </w:r>
            <w:r>
              <w:rPr>
                <w:rFonts w:hint="default" w:ascii="Times New Roman" w:hAnsi="Times New Roman" w:cs="Times New Roman"/>
                <w:sz w:val="18"/>
                <w:szCs w:val="18"/>
                <w:lang w:val="en-US" w:eastAsia="zh-CN"/>
              </w:rPr>
              <w:t>36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53</w:t>
            </w:r>
            <w:r>
              <w:rPr>
                <w:rFonts w:hint="default" w:ascii="Times New Roman" w:hAnsi="Times New Roman" w:cs="Times New Roman"/>
                <w:sz w:val="18"/>
                <w:szCs w:val="18"/>
                <w:lang w:val="en-US" w:eastAsia="zh-CN"/>
              </w:rPr>
              <w:t>96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1.70</w:t>
            </w:r>
            <w:r>
              <w:rPr>
                <w:rFonts w:hint="default" w:ascii="Times New Roman" w:hAnsi="Times New Roman" w:cs="Times New Roman"/>
                <w:sz w:val="18"/>
                <w:szCs w:val="18"/>
                <w:lang w:val="en-US" w:eastAsia="zh-CN"/>
              </w:rPr>
              <w:t>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1.68</w:t>
            </w:r>
            <w:r>
              <w:rPr>
                <w:rFonts w:hint="default" w:ascii="Times New Roman" w:hAnsi="Times New Roman" w:cs="Times New Roman"/>
                <w:sz w:val="18"/>
                <w:szCs w:val="18"/>
                <w:lang w:val="en-US" w:eastAsia="zh-CN"/>
              </w:rPr>
              <w:t>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516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61</w:t>
            </w:r>
            <w:r>
              <w:rPr>
                <w:rFonts w:hint="default" w:ascii="Times New Roman" w:hAnsi="Times New Roman" w:cs="Times New Roman"/>
                <w:sz w:val="18"/>
                <w:szCs w:val="18"/>
                <w:lang w:val="en-US" w:eastAsia="zh-CN"/>
              </w:rPr>
              <w:t>06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54</w:t>
            </w:r>
            <w:r>
              <w:rPr>
                <w:rFonts w:hint="default" w:ascii="Times New Roman" w:hAnsi="Times New Roman" w:cs="Times New Roman"/>
                <w:sz w:val="18"/>
                <w:szCs w:val="18"/>
                <w:lang w:val="en-US" w:eastAsia="zh-CN"/>
              </w:rPr>
              <w:t>09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1.71</w:t>
            </w:r>
            <w:r>
              <w:rPr>
                <w:rFonts w:hint="default" w:ascii="Times New Roman" w:hAnsi="Times New Roman" w:cs="Times New Roman"/>
                <w:sz w:val="18"/>
                <w:szCs w:val="18"/>
                <w:lang w:val="en-US" w:eastAsia="zh-CN"/>
              </w:rPr>
              <w:t>34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1.69</w:t>
            </w:r>
            <w:r>
              <w:rPr>
                <w:rFonts w:hint="default" w:ascii="Times New Roman" w:hAnsi="Times New Roman" w:cs="Times New Roman"/>
                <w:sz w:val="18"/>
                <w:szCs w:val="18"/>
                <w:lang w:val="en-US" w:eastAsia="zh-CN"/>
              </w:rPr>
              <w:t>69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66</w:t>
            </w:r>
            <w:r>
              <w:rPr>
                <w:rFonts w:hint="default" w:ascii="Times New Roman" w:hAnsi="Times New Roman" w:cs="Times New Roman"/>
                <w:sz w:val="18"/>
                <w:szCs w:val="18"/>
                <w:lang w:val="en-US" w:eastAsia="zh-CN"/>
              </w:rPr>
              <w:t>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62</w:t>
            </w:r>
            <w:r>
              <w:rPr>
                <w:rFonts w:hint="default" w:ascii="Times New Roman" w:hAnsi="Times New Roman" w:cs="Times New Roman"/>
                <w:sz w:val="18"/>
                <w:szCs w:val="18"/>
                <w:lang w:val="en-US" w:eastAsia="zh-CN"/>
              </w:rPr>
              <w:t>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55</w:t>
            </w:r>
            <w:r>
              <w:rPr>
                <w:rFonts w:hint="default" w:ascii="Times New Roman" w:hAnsi="Times New Roman" w:cs="Times New Roman"/>
                <w:sz w:val="18"/>
                <w:szCs w:val="18"/>
                <w:lang w:val="en-US" w:eastAsia="zh-CN"/>
              </w:rPr>
              <w:t>23</w:t>
            </w:r>
          </w:p>
        </w:tc>
      </w:tr>
      <w:tr>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1.72</w:t>
            </w:r>
            <w:r>
              <w:rPr>
                <w:rFonts w:hint="default" w:ascii="Times New Roman" w:hAnsi="Times New Roman" w:cs="Times New Roman"/>
                <w:sz w:val="18"/>
                <w:szCs w:val="18"/>
                <w:lang w:val="en-US" w:eastAsia="zh-CN"/>
              </w:rPr>
              <w:t>74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1.70</w:t>
            </w:r>
            <w:r>
              <w:rPr>
                <w:rFonts w:hint="default" w:ascii="Times New Roman" w:hAnsi="Times New Roman" w:cs="Times New Roman"/>
                <w:sz w:val="18"/>
                <w:szCs w:val="18"/>
                <w:lang w:val="en-US" w:eastAsia="zh-CN"/>
              </w:rPr>
              <w:t>98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1.67</w:t>
            </w:r>
            <w:r>
              <w:rPr>
                <w:rFonts w:hint="default" w:ascii="Times New Roman" w:hAnsi="Times New Roman" w:cs="Times New Roman"/>
                <w:sz w:val="18"/>
                <w:szCs w:val="18"/>
                <w:lang w:val="en-US" w:eastAsia="zh-CN"/>
              </w:rPr>
              <w:t>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63</w:t>
            </w:r>
            <w:r>
              <w:rPr>
                <w:rFonts w:hint="default" w:ascii="Times New Roman" w:hAnsi="Times New Roman" w:cs="Times New Roman"/>
                <w:sz w:val="18"/>
                <w:szCs w:val="18"/>
                <w:lang w:val="en-US" w:eastAsia="zh-CN"/>
              </w:rPr>
              <w:t>47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56</w:t>
            </w:r>
            <w:r>
              <w:rPr>
                <w:rFonts w:hint="default" w:ascii="Times New Roman" w:hAnsi="Times New Roman" w:cs="Times New Roman"/>
                <w:sz w:val="18"/>
                <w:szCs w:val="18"/>
                <w:lang w:val="en-US" w:eastAsia="zh-CN"/>
              </w:rPr>
              <w:t>36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1.73</w:t>
            </w:r>
            <w:r>
              <w:rPr>
                <w:rFonts w:hint="default" w:ascii="Times New Roman" w:hAnsi="Times New Roman" w:cs="Times New Roman"/>
                <w:sz w:val="18"/>
                <w:szCs w:val="18"/>
                <w:lang w:val="en-US" w:eastAsia="zh-CN"/>
              </w:rPr>
              <w:t>13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1.71</w:t>
            </w:r>
            <w:r>
              <w:rPr>
                <w:rFonts w:hint="default" w:ascii="Times New Roman" w:hAnsi="Times New Roman" w:cs="Times New Roman"/>
                <w:sz w:val="18"/>
                <w:szCs w:val="18"/>
                <w:lang w:val="en-US" w:eastAsia="zh-CN"/>
              </w:rPr>
              <w:t>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1.68</w:t>
            </w:r>
            <w:r>
              <w:rPr>
                <w:rFonts w:hint="default" w:ascii="Times New Roman" w:hAnsi="Times New Roman" w:cs="Times New Roman"/>
                <w:sz w:val="18"/>
                <w:szCs w:val="18"/>
                <w:lang w:val="en-US" w:eastAsia="zh-CN"/>
              </w:rPr>
              <w:t>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64</w:t>
            </w:r>
            <w:r>
              <w:rPr>
                <w:rFonts w:hint="default" w:ascii="Times New Roman" w:hAnsi="Times New Roman" w:cs="Times New Roman"/>
                <w:sz w:val="18"/>
                <w:szCs w:val="18"/>
                <w:lang w:val="en-US" w:eastAsia="zh-CN"/>
              </w:rPr>
              <w:t>17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57</w:t>
            </w:r>
            <w:r>
              <w:rPr>
                <w:rFonts w:hint="default" w:ascii="Times New Roman" w:hAnsi="Times New Roman" w:cs="Times New Roman"/>
                <w:sz w:val="18"/>
                <w:szCs w:val="18"/>
                <w:lang w:val="en-US" w:eastAsia="zh-CN"/>
              </w:rPr>
              <w:t>48</w:t>
            </w:r>
          </w:p>
        </w:tc>
      </w:tr>
    </w:tbl>
    <w:p>
      <w:pPr>
        <w:rPr>
          <w:rFonts w:hint="default"/>
          <w:lang w:val="en-US" w:eastAsia="zh-CN"/>
        </w:rPr>
      </w:pPr>
      <w:bookmarkStart w:id="15" w:name="_Toc280274325"/>
      <w:r>
        <w:rPr>
          <w:rFonts w:hint="default"/>
          <w:lang w:val="en-US" w:eastAsia="zh-CN"/>
        </w:rPr>
        <w:br w:type="page"/>
      </w:r>
    </w:p>
    <w:p>
      <w:pPr>
        <w:pStyle w:val="6"/>
        <w:bidi w:val="0"/>
        <w:rPr>
          <w:rFonts w:hint="default"/>
          <w:lang w:val="en-US" w:eastAsia="zh-CN"/>
        </w:rPr>
      </w:pPr>
      <w:r>
        <w:rPr>
          <w:rFonts w:hint="eastAsia"/>
          <w:lang w:val="en-US" w:eastAsia="zh-CN"/>
        </w:rPr>
        <w:t>（2）</w:t>
      </w:r>
      <w:r>
        <w:rPr>
          <w:rFonts w:hint="default"/>
          <w:lang w:val="en-US" w:eastAsia="zh-CN"/>
        </w:rPr>
        <w:t>使用年期修正系数</w:t>
      </w:r>
      <w:bookmarkEnd w:id="15"/>
    </w:p>
    <w:p>
      <w:pPr>
        <w:pStyle w:val="27"/>
        <w:bidi w:val="0"/>
        <w:rPr>
          <w:rFonts w:hint="eastAsia"/>
          <w:lang w:val="en-US" w:eastAsia="zh-CN"/>
        </w:rPr>
      </w:pPr>
      <w:r>
        <w:rPr>
          <w:rFonts w:hint="default"/>
          <w:lang w:val="en-US" w:eastAsia="zh-CN"/>
        </w:rPr>
        <w:t>表</w:t>
      </w:r>
      <w:r>
        <w:rPr>
          <w:rFonts w:hint="eastAsia"/>
          <w:lang w:val="en-US" w:eastAsia="zh-CN"/>
        </w:rPr>
        <w:t>2-14</w:t>
      </w:r>
      <w:r>
        <w:rPr>
          <w:rFonts w:hint="default"/>
          <w:lang w:val="en-US" w:eastAsia="zh-CN"/>
        </w:rPr>
        <w:t xml:space="preserve"> </w:t>
      </w:r>
      <w:r>
        <w:rPr>
          <w:rFonts w:hint="eastAsia"/>
          <w:lang w:val="en-US" w:eastAsia="zh-CN"/>
        </w:rPr>
        <w:t>商业服务业用地</w:t>
      </w:r>
      <w:r>
        <w:rPr>
          <w:rFonts w:hint="default"/>
          <w:lang w:val="en-US" w:eastAsia="zh-CN"/>
        </w:rPr>
        <w:t>使用年期修正系数表</w:t>
      </w:r>
      <w:r>
        <w:rPr>
          <w:rFonts w:hint="eastAsia"/>
          <w:lang w:val="en-US" w:eastAsia="zh-CN"/>
        </w:rPr>
        <w:t>（还原率=5.43%）</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56"/>
        <w:gridCol w:w="756"/>
        <w:gridCol w:w="757"/>
        <w:gridCol w:w="757"/>
        <w:gridCol w:w="757"/>
        <w:gridCol w:w="757"/>
        <w:gridCol w:w="757"/>
        <w:gridCol w:w="757"/>
        <w:gridCol w:w="757"/>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使用年期</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7</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8</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9</w:t>
            </w:r>
          </w:p>
        </w:tc>
        <w:tc>
          <w:tcPr>
            <w:tcW w:w="75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修正系数</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0.0586</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0.1141</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0.1668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0.2168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0.2642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0.3092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0.3518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0.3922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0.4306</w:t>
            </w:r>
          </w:p>
        </w:tc>
        <w:tc>
          <w:tcPr>
            <w:tcW w:w="7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使用年期</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11</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12</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13</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14</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15</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16</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17</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18</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19</w:t>
            </w:r>
          </w:p>
        </w:tc>
        <w:tc>
          <w:tcPr>
            <w:tcW w:w="75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修正系数</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0.5015</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0.5343</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0.5653</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0.5948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0.6227</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0.6492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0.6743</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0.6982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0.7208</w:t>
            </w:r>
          </w:p>
        </w:tc>
        <w:tc>
          <w:tcPr>
            <w:tcW w:w="7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使用年期</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21</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22</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23</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24</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25</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26</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27</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28</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29</w:t>
            </w:r>
          </w:p>
        </w:tc>
        <w:tc>
          <w:tcPr>
            <w:tcW w:w="75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修正系数</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0.7626</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0.7819</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0.8002</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0.8175</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0.834</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0.8496</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0.8644</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0.8785</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0.8918</w:t>
            </w:r>
          </w:p>
        </w:tc>
        <w:tc>
          <w:tcPr>
            <w:tcW w:w="7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使用年期</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31</w:t>
            </w:r>
          </w:p>
        </w:tc>
        <w:tc>
          <w:tcPr>
            <w:tcW w:w="7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32</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33</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34</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35</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36</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37</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38</w:t>
            </w:r>
          </w:p>
        </w:tc>
        <w:tc>
          <w:tcPr>
            <w:tcW w:w="7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39</w:t>
            </w:r>
          </w:p>
        </w:tc>
        <w:tc>
          <w:tcPr>
            <w:tcW w:w="75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eastAsia" w:ascii="Times New Roman" w:hAnsi="Times New Roman" w:eastAsia="仿宋_GB2312" w:cs="仿宋"/>
                <w:b/>
                <w:bCs/>
                <w:i w:val="0"/>
                <w:iCs w:val="0"/>
                <w:color w:val="000000"/>
                <w:kern w:val="0"/>
                <w:sz w:val="18"/>
                <w:szCs w:val="18"/>
                <w:u w:val="none"/>
                <w:lang w:val="en-US" w:eastAsia="zh-CN" w:bidi="ar"/>
              </w:rPr>
              <w:t>修正系数</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0.9164</w:t>
            </w:r>
          </w:p>
        </w:tc>
        <w:tc>
          <w:tcPr>
            <w:tcW w:w="7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0.9278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0.9386</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0.9488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0.9585</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0.9677</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0.9764</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0.9847</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0.9926</w:t>
            </w:r>
          </w:p>
        </w:tc>
        <w:tc>
          <w:tcPr>
            <w:tcW w:w="7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1</w:t>
            </w:r>
            <w:r>
              <w:rPr>
                <w:rFonts w:hint="eastAsia" w:cs="仿宋"/>
                <w:b w:val="0"/>
                <w:bCs w:val="0"/>
                <w:i w:val="0"/>
                <w:iCs w:val="0"/>
                <w:color w:val="000000"/>
                <w:kern w:val="0"/>
                <w:sz w:val="18"/>
                <w:szCs w:val="18"/>
                <w:u w:val="none"/>
                <w:lang w:val="en-US" w:eastAsia="zh-CN" w:bidi="ar"/>
              </w:rPr>
              <w:t>.0000</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注：使用年期为剩余使用年期，其值为非整数时按照要求折算成年。</w:t>
      </w:r>
    </w:p>
    <w:p>
      <w:pPr>
        <w:pStyle w:val="6"/>
        <w:bidi w:val="0"/>
        <w:rPr>
          <w:rFonts w:hint="default"/>
          <w:lang w:val="en-US" w:eastAsia="zh-CN"/>
        </w:rPr>
      </w:pPr>
      <w:bookmarkStart w:id="16" w:name="_Toc280274338"/>
      <w:r>
        <w:rPr>
          <w:rFonts w:hint="eastAsia"/>
          <w:lang w:val="en-US" w:eastAsia="zh-CN"/>
        </w:rPr>
        <w:t>（3）</w:t>
      </w:r>
      <w:r>
        <w:rPr>
          <w:rFonts w:hint="default"/>
          <w:lang w:val="en-US" w:eastAsia="zh-CN"/>
        </w:rPr>
        <w:t>交易期日修正系数</w:t>
      </w:r>
      <w:bookmarkEnd w:id="16"/>
      <w:r>
        <w:rPr>
          <w:rFonts w:hint="default"/>
          <w:lang w:val="en-US" w:eastAsia="zh-CN"/>
        </w:rPr>
        <w:t xml:space="preserve"> </w:t>
      </w:r>
    </w:p>
    <w:p>
      <w:pPr>
        <w:bidi w:val="0"/>
        <w:rPr>
          <w:rFonts w:hint="default"/>
          <w:lang w:val="en-US" w:eastAsia="zh-CN"/>
        </w:rPr>
      </w:pPr>
      <w:r>
        <w:rPr>
          <w:rFonts w:hint="default"/>
          <w:lang w:val="en-US" w:eastAsia="zh-CN"/>
        </w:rPr>
        <w:t>交易日期修正系数根据201</w:t>
      </w:r>
      <w:r>
        <w:rPr>
          <w:rFonts w:hint="eastAsia"/>
          <w:lang w:val="en-US" w:eastAsia="zh-CN"/>
        </w:rPr>
        <w:t>8</w:t>
      </w:r>
      <w:r>
        <w:rPr>
          <w:rFonts w:hint="default"/>
          <w:lang w:val="en-US" w:eastAsia="zh-CN"/>
        </w:rPr>
        <w:t>年到基准日随州市地价动态监测结果来确定修正系数。</w:t>
      </w:r>
    </w:p>
    <w:p>
      <w:pPr>
        <w:pStyle w:val="27"/>
        <w:bidi w:val="0"/>
        <w:rPr>
          <w:rFonts w:hint="default"/>
          <w:lang w:val="en-US" w:eastAsia="zh-CN"/>
        </w:rPr>
      </w:pPr>
      <w:r>
        <w:rPr>
          <w:rFonts w:hint="default"/>
          <w:lang w:val="en-US" w:eastAsia="zh-CN"/>
        </w:rPr>
        <w:t>表</w:t>
      </w:r>
      <w:r>
        <w:rPr>
          <w:rFonts w:hint="eastAsia"/>
          <w:lang w:val="en-US" w:eastAsia="zh-CN"/>
        </w:rPr>
        <w:t>2-15</w:t>
      </w:r>
      <w:r>
        <w:rPr>
          <w:rFonts w:hint="default"/>
          <w:lang w:val="en-US" w:eastAsia="zh-CN"/>
        </w:rPr>
        <w:t xml:space="preserve"> </w:t>
      </w:r>
      <w:r>
        <w:rPr>
          <w:rFonts w:hint="eastAsia"/>
          <w:lang w:val="en-US" w:eastAsia="zh-CN"/>
        </w:rPr>
        <w:t>商业服务业用地</w:t>
      </w:r>
      <w:r>
        <w:rPr>
          <w:rFonts w:hint="default"/>
          <w:lang w:val="en-US" w:eastAsia="zh-CN"/>
        </w:rPr>
        <w:t>交易期日修正系数表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90"/>
        <w:gridCol w:w="1191"/>
        <w:gridCol w:w="1192"/>
        <w:gridCol w:w="1192"/>
        <w:gridCol w:w="1191"/>
        <w:gridCol w:w="1190"/>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7" w:hRule="atLeast"/>
        </w:trPr>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年份</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2018.06.30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2019.06.30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2020.06.30</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2021.06.30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2022.06.30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2023.06.30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修正系数</w:t>
            </w:r>
          </w:p>
        </w:tc>
        <w:tc>
          <w:tcPr>
            <w:tcW w:w="11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0.8832</w:t>
            </w:r>
          </w:p>
        </w:tc>
        <w:tc>
          <w:tcPr>
            <w:tcW w:w="11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0.9315</w:t>
            </w:r>
          </w:p>
        </w:tc>
        <w:tc>
          <w:tcPr>
            <w:tcW w:w="11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0.9525</w:t>
            </w:r>
          </w:p>
        </w:tc>
        <w:tc>
          <w:tcPr>
            <w:tcW w:w="11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0.9841</w:t>
            </w:r>
          </w:p>
        </w:tc>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0.9702</w:t>
            </w:r>
          </w:p>
        </w:tc>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1.0000</w:t>
            </w:r>
          </w:p>
        </w:tc>
      </w:tr>
    </w:tbl>
    <w:p>
      <w:pPr>
        <w:pStyle w:val="6"/>
        <w:bidi w:val="0"/>
        <w:rPr>
          <w:rFonts w:hint="default"/>
          <w:lang w:val="en-US" w:eastAsia="zh-CN"/>
        </w:rPr>
      </w:pPr>
      <w:r>
        <w:rPr>
          <w:rFonts w:hint="eastAsia"/>
          <w:lang w:val="en-US" w:eastAsia="zh-CN"/>
        </w:rPr>
        <w:t>（4）</w:t>
      </w:r>
      <w:r>
        <w:rPr>
          <w:rFonts w:hint="default"/>
          <w:lang w:val="en-US" w:eastAsia="zh-CN"/>
        </w:rPr>
        <w:t>宗地面积修正系数</w:t>
      </w:r>
    </w:p>
    <w:p>
      <w:pPr>
        <w:pStyle w:val="27"/>
        <w:bidi w:val="0"/>
        <w:rPr>
          <w:rFonts w:hint="default"/>
          <w:lang w:val="en-US" w:eastAsia="zh-CN"/>
        </w:rPr>
      </w:pPr>
      <w:r>
        <w:rPr>
          <w:rFonts w:hint="default"/>
          <w:lang w:val="en-US" w:eastAsia="zh-CN"/>
        </w:rPr>
        <w:t>表</w:t>
      </w:r>
      <w:r>
        <w:rPr>
          <w:rFonts w:hint="eastAsia"/>
          <w:lang w:val="en-US" w:eastAsia="zh-CN"/>
        </w:rPr>
        <w:t>2-16</w:t>
      </w:r>
      <w:r>
        <w:rPr>
          <w:rFonts w:hint="default"/>
          <w:lang w:val="en-US" w:eastAsia="zh-CN"/>
        </w:rPr>
        <w:t xml:space="preserve"> </w:t>
      </w:r>
      <w:r>
        <w:rPr>
          <w:rFonts w:hint="eastAsia"/>
          <w:lang w:val="en-US" w:eastAsia="zh-CN"/>
        </w:rPr>
        <w:t>商业服务业用地</w:t>
      </w:r>
      <w:r>
        <w:rPr>
          <w:rFonts w:hint="default"/>
          <w:lang w:val="en-US" w:eastAsia="zh-CN"/>
        </w:rPr>
        <w:t>宗地面积修正说明表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1514"/>
        <w:gridCol w:w="1370"/>
        <w:gridCol w:w="1357"/>
        <w:gridCol w:w="1551"/>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000"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14"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7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5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5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73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514"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面积适中，对土地利用极为有利</w:t>
            </w:r>
          </w:p>
        </w:tc>
        <w:tc>
          <w:tcPr>
            <w:tcW w:w="137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面积对土地利用较为有利</w:t>
            </w:r>
          </w:p>
        </w:tc>
        <w:tc>
          <w:tcPr>
            <w:tcW w:w="13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面积对土地利用无不良影响</w:t>
            </w:r>
          </w:p>
        </w:tc>
        <w:tc>
          <w:tcPr>
            <w:tcW w:w="155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面积较小，对土地利用有一定影响</w:t>
            </w:r>
          </w:p>
        </w:tc>
        <w:tc>
          <w:tcPr>
            <w:tcW w:w="17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面积过小，对土地利用产生严重影响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0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14"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37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35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5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7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r>
        <w:rPr>
          <w:rFonts w:hint="eastAsia"/>
          <w:lang w:val="en-US" w:eastAsia="zh-CN"/>
        </w:rPr>
        <w:t>（5）</w:t>
      </w:r>
      <w:r>
        <w:rPr>
          <w:rFonts w:hint="default"/>
          <w:lang w:val="en-US" w:eastAsia="zh-CN"/>
        </w:rPr>
        <w:t>宗地形状修正系数</w:t>
      </w:r>
    </w:p>
    <w:p>
      <w:pPr>
        <w:pStyle w:val="27"/>
        <w:bidi w:val="0"/>
        <w:rPr>
          <w:rFonts w:hint="default"/>
          <w:lang w:val="en-US" w:eastAsia="zh-CN"/>
        </w:rPr>
      </w:pPr>
      <w:r>
        <w:rPr>
          <w:rFonts w:hint="default"/>
          <w:lang w:val="en-US" w:eastAsia="zh-CN"/>
        </w:rPr>
        <w:t>表</w:t>
      </w:r>
      <w:r>
        <w:rPr>
          <w:rFonts w:hint="eastAsia"/>
          <w:lang w:val="en-US" w:eastAsia="zh-CN"/>
        </w:rPr>
        <w:t>2-17</w:t>
      </w:r>
      <w:r>
        <w:rPr>
          <w:rFonts w:hint="default"/>
          <w:lang w:val="en-US" w:eastAsia="zh-CN"/>
        </w:rPr>
        <w:t xml:space="preserve"> </w:t>
      </w:r>
      <w:r>
        <w:rPr>
          <w:rFonts w:hint="eastAsia"/>
          <w:lang w:val="en-US" w:eastAsia="zh-CN"/>
        </w:rPr>
        <w:t>商业服务业用地</w:t>
      </w:r>
      <w:r>
        <w:rPr>
          <w:rFonts w:hint="default"/>
          <w:lang w:val="en-US" w:eastAsia="zh-CN"/>
        </w:rPr>
        <w:t>宗地形状修正系数表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378"/>
        <w:gridCol w:w="1364"/>
        <w:gridCol w:w="1278"/>
        <w:gridCol w:w="1565"/>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08"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378"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6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27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65"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92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008"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378"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形状规则，对土地利用合理</w:t>
            </w: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土地利用较为合理</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土地利用无不良影响</w:t>
            </w:r>
          </w:p>
        </w:tc>
        <w:tc>
          <w:tcPr>
            <w:tcW w:w="15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形状不规则，对土地利用不合理</w:t>
            </w:r>
          </w:p>
        </w:tc>
        <w:tc>
          <w:tcPr>
            <w:tcW w:w="192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08"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378"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1.07</w:t>
            </w: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1.035</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0.96</w:t>
            </w:r>
          </w:p>
        </w:tc>
        <w:tc>
          <w:tcPr>
            <w:tcW w:w="192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0.92</w:t>
            </w:r>
          </w:p>
        </w:tc>
      </w:tr>
    </w:tbl>
    <w:p>
      <w:pPr>
        <w:pStyle w:val="6"/>
        <w:bidi w:val="0"/>
        <w:rPr>
          <w:rFonts w:hint="default"/>
          <w:lang w:val="en-US" w:eastAsia="zh-CN"/>
        </w:rPr>
      </w:pPr>
      <w:r>
        <w:rPr>
          <w:rFonts w:hint="eastAsia"/>
          <w:lang w:val="en-US" w:eastAsia="zh-CN"/>
        </w:rPr>
        <w:t>（6）</w:t>
      </w:r>
      <w:r>
        <w:rPr>
          <w:rFonts w:hint="default"/>
          <w:lang w:val="en-US" w:eastAsia="zh-CN"/>
        </w:rPr>
        <w:t>临街修正系数</w:t>
      </w:r>
    </w:p>
    <w:p>
      <w:pPr>
        <w:pStyle w:val="27"/>
        <w:bidi w:val="0"/>
        <w:rPr>
          <w:rFonts w:hint="default"/>
          <w:lang w:val="en-US" w:eastAsia="zh-CN"/>
        </w:rPr>
      </w:pPr>
      <w:r>
        <w:rPr>
          <w:rFonts w:hint="default"/>
          <w:lang w:val="en-US" w:eastAsia="zh-CN"/>
        </w:rPr>
        <w:t>表</w:t>
      </w:r>
      <w:r>
        <w:rPr>
          <w:rFonts w:hint="eastAsia"/>
          <w:lang w:val="en-US" w:eastAsia="zh-CN"/>
        </w:rPr>
        <w:t>2-18</w:t>
      </w:r>
      <w:r>
        <w:rPr>
          <w:rFonts w:hint="default"/>
          <w:lang w:val="en-US" w:eastAsia="zh-CN"/>
        </w:rPr>
        <w:t xml:space="preserve"> </w:t>
      </w:r>
      <w:r>
        <w:rPr>
          <w:rFonts w:hint="eastAsia"/>
          <w:lang w:val="en-US" w:eastAsia="zh-CN"/>
        </w:rPr>
        <w:t>商业服务业用地</w:t>
      </w:r>
      <w:r>
        <w:rPr>
          <w:rFonts w:hint="default"/>
          <w:lang w:val="en-US" w:eastAsia="zh-CN"/>
        </w:rPr>
        <w:t>街角地修正系数表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3"/>
        <w:gridCol w:w="2029"/>
        <w:gridCol w:w="2030"/>
        <w:gridCol w:w="2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243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临路口情况</w:t>
            </w:r>
          </w:p>
        </w:tc>
        <w:tc>
          <w:tcPr>
            <w:tcW w:w="202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三面临街</w:t>
            </w:r>
          </w:p>
        </w:tc>
        <w:tc>
          <w:tcPr>
            <w:tcW w:w="203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两面临街</w:t>
            </w:r>
          </w:p>
        </w:tc>
        <w:tc>
          <w:tcPr>
            <w:tcW w:w="203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一面临街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243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202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1.14</w:t>
            </w:r>
          </w:p>
        </w:tc>
        <w:tc>
          <w:tcPr>
            <w:tcW w:w="20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1.1</w:t>
            </w:r>
          </w:p>
        </w:tc>
        <w:tc>
          <w:tcPr>
            <w:tcW w:w="20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r>
    </w:tbl>
    <w:p>
      <w:pPr>
        <w:bidi w:val="0"/>
        <w:rPr>
          <w:rFonts w:hint="default"/>
          <w:lang w:val="en-US" w:eastAsia="zh-CN"/>
        </w:rPr>
      </w:pPr>
      <w:r>
        <w:rPr>
          <w:rFonts w:hint="default"/>
          <w:lang w:val="en-US" w:eastAsia="zh-CN"/>
        </w:rPr>
        <w:t>临路口情况如</w:t>
      </w:r>
      <w:r>
        <w:rPr>
          <w:rFonts w:hint="eastAsia"/>
          <w:lang w:val="en-US" w:eastAsia="zh-CN"/>
        </w:rPr>
        <w:t>下</w:t>
      </w:r>
      <w:r>
        <w:rPr>
          <w:rFonts w:hint="default"/>
          <w:lang w:val="en-US" w:eastAsia="zh-CN"/>
        </w:rPr>
        <w:t>图：地块A为三面临街，B为两面临街，C为一面临街</w:t>
      </w:r>
      <w:r>
        <w:rPr>
          <w:rFonts w:hint="eastAsia"/>
          <w:lang w:val="en-US" w:eastAsia="zh-CN"/>
        </w:rPr>
        <w:t>。</w:t>
      </w:r>
    </w:p>
    <w:p>
      <w:pPr>
        <w:pStyle w:val="12"/>
        <w:rPr>
          <w:rFonts w:hint="default" w:ascii="Times New Roman" w:hAnsi="Times New Roman" w:eastAsia="宋体" w:cs="Times New Roman"/>
        </w:rPr>
      </w:pPr>
      <w:r>
        <w:rPr>
          <w:rFonts w:hint="default" w:ascii="Times New Roman" w:hAnsi="Times New Roman" w:eastAsia="宋体" w:cs="Times New Roman"/>
        </w:rPr>
        <mc:AlternateContent>
          <mc:Choice Requires="wpg">
            <w:drawing>
              <wp:anchor distT="0" distB="0" distL="114300" distR="114300" simplePos="0" relativeHeight="251660288" behindDoc="1" locked="0" layoutInCell="1" allowOverlap="1">
                <wp:simplePos x="0" y="0"/>
                <wp:positionH relativeFrom="column">
                  <wp:posOffset>800100</wp:posOffset>
                </wp:positionH>
                <wp:positionV relativeFrom="paragraph">
                  <wp:posOffset>185420</wp:posOffset>
                </wp:positionV>
                <wp:extent cx="3086100" cy="1416050"/>
                <wp:effectExtent l="0" t="0" r="0" b="12700"/>
                <wp:wrapNone/>
                <wp:docPr id="127" name="组合 127"/>
                <wp:cNvGraphicFramePr/>
                <a:graphic xmlns:a="http://schemas.openxmlformats.org/drawingml/2006/main">
                  <a:graphicData uri="http://schemas.microsoft.com/office/word/2010/wordprocessingGroup">
                    <wpg:wgp>
                      <wpg:cNvGrpSpPr/>
                      <wpg:grpSpPr>
                        <a:xfrm>
                          <a:off x="0" y="0"/>
                          <a:ext cx="3086100" cy="1416050"/>
                          <a:chOff x="0" y="0"/>
                          <a:chExt cx="4860" cy="2230"/>
                        </a:xfrm>
                      </wpg:grpSpPr>
                      <wps:wsp>
                        <wps:cNvPr id="102" name="直接连接符 102"/>
                        <wps:cNvCnPr/>
                        <wps:spPr>
                          <a:xfrm>
                            <a:off x="0" y="1158"/>
                            <a:ext cx="900" cy="0"/>
                          </a:xfrm>
                          <a:prstGeom prst="line">
                            <a:avLst/>
                          </a:prstGeom>
                          <a:ln w="9525" cap="flat" cmpd="sng">
                            <a:solidFill>
                              <a:srgbClr val="000000"/>
                            </a:solidFill>
                            <a:prstDash val="solid"/>
                            <a:headEnd type="none" w="med" len="med"/>
                            <a:tailEnd type="none" w="med" len="med"/>
                          </a:ln>
                        </wps:spPr>
                        <wps:bodyPr upright="1"/>
                      </wps:wsp>
                      <wps:wsp>
                        <wps:cNvPr id="103" name="直接连接符 103"/>
                        <wps:cNvCnPr/>
                        <wps:spPr>
                          <a:xfrm>
                            <a:off x="13" y="1764"/>
                            <a:ext cx="3060" cy="0"/>
                          </a:xfrm>
                          <a:prstGeom prst="line">
                            <a:avLst/>
                          </a:prstGeom>
                          <a:ln w="9525" cap="flat" cmpd="sng">
                            <a:solidFill>
                              <a:srgbClr val="000000"/>
                            </a:solidFill>
                            <a:prstDash val="solid"/>
                            <a:headEnd type="none" w="med" len="med"/>
                            <a:tailEnd type="none" w="med" len="med"/>
                          </a:ln>
                        </wps:spPr>
                        <wps:bodyPr upright="1"/>
                      </wps:wsp>
                      <wps:wsp>
                        <wps:cNvPr id="104" name="直接连接符 104"/>
                        <wps:cNvCnPr/>
                        <wps:spPr>
                          <a:xfrm>
                            <a:off x="900" y="66"/>
                            <a:ext cx="0" cy="1092"/>
                          </a:xfrm>
                          <a:prstGeom prst="line">
                            <a:avLst/>
                          </a:prstGeom>
                          <a:ln w="9525" cap="flat" cmpd="sng">
                            <a:solidFill>
                              <a:srgbClr val="000000"/>
                            </a:solidFill>
                            <a:prstDash val="solid"/>
                            <a:headEnd type="none" w="med" len="med"/>
                            <a:tailEnd type="none" w="med" len="med"/>
                          </a:ln>
                        </wps:spPr>
                        <wps:bodyPr upright="1"/>
                      </wps:wsp>
                      <wps:wsp>
                        <wps:cNvPr id="105" name="直接连接符 105"/>
                        <wps:cNvCnPr/>
                        <wps:spPr>
                          <a:xfrm>
                            <a:off x="1620" y="0"/>
                            <a:ext cx="0" cy="1092"/>
                          </a:xfrm>
                          <a:prstGeom prst="line">
                            <a:avLst/>
                          </a:prstGeom>
                          <a:ln w="9525" cap="flat" cmpd="sng">
                            <a:solidFill>
                              <a:srgbClr val="000000"/>
                            </a:solidFill>
                            <a:prstDash val="solid"/>
                            <a:headEnd type="none" w="med" len="med"/>
                            <a:tailEnd type="none" w="med" len="med"/>
                          </a:ln>
                        </wps:spPr>
                        <wps:bodyPr upright="1"/>
                      </wps:wsp>
                      <wps:wsp>
                        <wps:cNvPr id="110" name="矩形 110"/>
                        <wps:cNvSpPr/>
                        <wps:spPr>
                          <a:xfrm>
                            <a:off x="1623" y="507"/>
                            <a:ext cx="1440" cy="624"/>
                          </a:xfrm>
                          <a:prstGeom prst="rect">
                            <a:avLst/>
                          </a:prstGeom>
                          <a:solidFill>
                            <a:srgbClr val="C0C0C0"/>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A</w:t>
                              </w:r>
                            </w:p>
                          </w:txbxContent>
                        </wps:txbx>
                        <wps:bodyPr upright="1"/>
                      </wps:wsp>
                      <wps:wsp>
                        <wps:cNvPr id="111" name="直接连接符 111"/>
                        <wps:cNvCnPr/>
                        <wps:spPr>
                          <a:xfrm>
                            <a:off x="1634" y="1138"/>
                            <a:ext cx="1426" cy="0"/>
                          </a:xfrm>
                          <a:prstGeom prst="line">
                            <a:avLst/>
                          </a:prstGeom>
                          <a:ln w="9525" cap="flat" cmpd="sng">
                            <a:solidFill>
                              <a:srgbClr val="000000"/>
                            </a:solidFill>
                            <a:prstDash val="solid"/>
                            <a:headEnd type="none" w="med" len="med"/>
                            <a:tailEnd type="none" w="med" len="med"/>
                          </a:ln>
                        </wps:spPr>
                        <wps:bodyPr upright="1"/>
                      </wps:wsp>
                      <wps:wsp>
                        <wps:cNvPr id="112" name="直接连接符 112"/>
                        <wps:cNvCnPr/>
                        <wps:spPr>
                          <a:xfrm>
                            <a:off x="3060" y="46"/>
                            <a:ext cx="0" cy="1092"/>
                          </a:xfrm>
                          <a:prstGeom prst="line">
                            <a:avLst/>
                          </a:prstGeom>
                          <a:ln w="9525" cap="flat" cmpd="sng">
                            <a:solidFill>
                              <a:srgbClr val="000000"/>
                            </a:solidFill>
                            <a:prstDash val="solid"/>
                            <a:headEnd type="none" w="med" len="med"/>
                            <a:tailEnd type="none" w="med" len="med"/>
                          </a:ln>
                        </wps:spPr>
                        <wps:bodyPr upright="1"/>
                      </wps:wsp>
                      <wps:wsp>
                        <wps:cNvPr id="113" name="直接连接符 113"/>
                        <wps:cNvCnPr/>
                        <wps:spPr>
                          <a:xfrm>
                            <a:off x="3060" y="1762"/>
                            <a:ext cx="0" cy="468"/>
                          </a:xfrm>
                          <a:prstGeom prst="line">
                            <a:avLst/>
                          </a:prstGeom>
                          <a:ln w="9525" cap="flat" cmpd="sng">
                            <a:solidFill>
                              <a:srgbClr val="000000"/>
                            </a:solidFill>
                            <a:prstDash val="solid"/>
                            <a:headEnd type="none" w="med" len="med"/>
                            <a:tailEnd type="none" w="med" len="med"/>
                          </a:ln>
                        </wps:spPr>
                        <wps:bodyPr upright="1"/>
                      </wps:wsp>
                      <wps:wsp>
                        <wps:cNvPr id="117" name="直接连接符 117"/>
                        <wps:cNvCnPr/>
                        <wps:spPr>
                          <a:xfrm flipV="1">
                            <a:off x="3420" y="46"/>
                            <a:ext cx="0" cy="1092"/>
                          </a:xfrm>
                          <a:prstGeom prst="line">
                            <a:avLst/>
                          </a:prstGeom>
                          <a:ln w="9525" cap="flat" cmpd="sng">
                            <a:solidFill>
                              <a:srgbClr val="000000"/>
                            </a:solidFill>
                            <a:prstDash val="solid"/>
                            <a:headEnd type="none" w="med" len="med"/>
                            <a:tailEnd type="none" w="med" len="med"/>
                          </a:ln>
                        </wps:spPr>
                        <wps:bodyPr upright="1"/>
                      </wps:wsp>
                      <wps:wsp>
                        <wps:cNvPr id="118" name="直接连接符 118"/>
                        <wps:cNvCnPr/>
                        <wps:spPr>
                          <a:xfrm>
                            <a:off x="3420" y="1762"/>
                            <a:ext cx="0" cy="468"/>
                          </a:xfrm>
                          <a:prstGeom prst="line">
                            <a:avLst/>
                          </a:prstGeom>
                          <a:ln w="9525" cap="flat" cmpd="sng">
                            <a:solidFill>
                              <a:srgbClr val="000000"/>
                            </a:solidFill>
                            <a:prstDash val="solid"/>
                            <a:headEnd type="none" w="med" len="med"/>
                            <a:tailEnd type="none" w="med" len="med"/>
                          </a:ln>
                        </wps:spPr>
                        <wps:bodyPr upright="1"/>
                      </wps:wsp>
                      <wps:wsp>
                        <wps:cNvPr id="119" name="直接连接符 119"/>
                        <wps:cNvCnPr/>
                        <wps:spPr>
                          <a:xfrm>
                            <a:off x="3420" y="1762"/>
                            <a:ext cx="1440" cy="0"/>
                          </a:xfrm>
                          <a:prstGeom prst="line">
                            <a:avLst/>
                          </a:prstGeom>
                          <a:ln w="9525" cap="flat" cmpd="sng">
                            <a:solidFill>
                              <a:srgbClr val="000000"/>
                            </a:solidFill>
                            <a:prstDash val="solid"/>
                            <a:headEnd type="none" w="med" len="med"/>
                            <a:tailEnd type="none" w="med" len="med"/>
                          </a:ln>
                        </wps:spPr>
                        <wps:bodyPr upright="1"/>
                      </wps:wsp>
                      <wps:wsp>
                        <wps:cNvPr id="120" name="矩形 120"/>
                        <wps:cNvSpPr/>
                        <wps:spPr>
                          <a:xfrm>
                            <a:off x="3420" y="670"/>
                            <a:ext cx="540" cy="468"/>
                          </a:xfrm>
                          <a:prstGeom prst="rect">
                            <a:avLst/>
                          </a:prstGeom>
                          <a:solidFill>
                            <a:srgbClr val="C0C0C0"/>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B</w:t>
                              </w:r>
                            </w:p>
                          </w:txbxContent>
                        </wps:txbx>
                        <wps:bodyPr upright="1"/>
                      </wps:wsp>
                      <wps:wsp>
                        <wps:cNvPr id="121" name="矩形 121"/>
                        <wps:cNvSpPr/>
                        <wps:spPr>
                          <a:xfrm>
                            <a:off x="3960" y="358"/>
                            <a:ext cx="54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C</w:t>
                              </w:r>
                            </w:p>
                          </w:txbxContent>
                        </wps:txbx>
                        <wps:bodyPr upright="1"/>
                      </wps:wsp>
                      <wps:wsp>
                        <wps:cNvPr id="122" name="直接连接符 122"/>
                        <wps:cNvCnPr/>
                        <wps:spPr>
                          <a:xfrm>
                            <a:off x="4500" y="1138"/>
                            <a:ext cx="360" cy="0"/>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63pt;margin-top:14.6pt;height:111.5pt;width:243pt;z-index:-251656192;mso-width-relative:page;mso-height-relative:page;" coordsize="4860,2230" o:gfxdata="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">
                <o:lock v:ext="edit" aspectratio="f"/>
                <v:line id="_x0000_s1026" o:spid="_x0000_s1026" o:spt="20" style="position:absolute;left:0;top:1158;height:0;width:900;" filled="f" stroked="t" coordsize="21600,21600" o:gfxdata="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2Oiy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13;top:1764;height:0;width:3060;" filled="f" stroked="t" coordsize="21600,21600" o:gfxdata="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vB1C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900;top:66;height:1092;width:0;" filled="f" stroked="t" coordsize="21600,21600" o:gfxdata="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xp8k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620;top:0;height:1092;width:0;" filled="f" stroked="t" coordsize="21600,21600" o:gfxdata="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0ijq/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_x0000_s1026" o:spid="_x0000_s1026" o:spt="1" style="position:absolute;left:1623;top:507;height:624;width:1440;" fillcolor="#C0C0C0" filled="t" stroked="t" coordsize="21600,21600" o:gfxdata="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z7U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jc w:val="center"/>
                          <w:rPr>
                            <w:rFonts w:hint="eastAsia"/>
                          </w:rPr>
                        </w:pPr>
                        <w:r>
                          <w:rPr>
                            <w:rFonts w:hint="eastAsia"/>
                          </w:rPr>
                          <w:t>A</w:t>
                        </w:r>
                      </w:p>
                    </w:txbxContent>
                  </v:textbox>
                </v:rect>
                <v:line id="_x0000_s1026" o:spid="_x0000_s1026" o:spt="20" style="position:absolute;left:1634;top:1138;height:0;width:1426;" filled="f" stroked="t" coordsize="21600,21600" o:gfxdata="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aKph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3060;top:46;height:1092;width:0;" filled="f" stroked="t" coordsize="21600,21600" o:gfxdata="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o0F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3060;top:1762;height:468;width:0;" filled="f" stroked="t" coordsize="21600,21600" o:gfxdata="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2kY2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420;top:46;flip:y;height:1092;width:0;" filled="f" stroked="t" coordsize="21600,21600" o:gfxdata="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vNj3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3420;top:1762;height:468;width:0;" filled="f" stroked="t" coordsize="21600,21600" o:gfxdata="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1ID/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3420;top:1762;height:0;width:1440;" filled="f" stroked="t" coordsize="21600,21600" o:gfxdata="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B6mZ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rect id="_x0000_s1026" o:spid="_x0000_s1026" o:spt="1" style="position:absolute;left:3420;top:670;height:468;width:540;" fillcolor="#C0C0C0" filled="t" stroked="t" coordsize="21600,21600" o:gfxdata="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8n+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B</w:t>
                        </w:r>
                      </w:p>
                    </w:txbxContent>
                  </v:textbox>
                </v:rect>
                <v:rect id="_x0000_s1026" o:spid="_x0000_s1026" o:spt="1" style="position:absolute;left:3960;top:358;height:780;width:540;" fillcolor="#C0C0C0" filled="t" stroked="t" coordsize="21600,21600" o:gfxdata="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Tgm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rPr>
                        </w:pPr>
                        <w:r>
                          <w:rPr>
                            <w:rFonts w:hint="eastAsia"/>
                          </w:rPr>
                          <w:t>C</w:t>
                        </w:r>
                      </w:p>
                    </w:txbxContent>
                  </v:textbox>
                </v:rect>
                <v:line id="_x0000_s1026" o:spid="_x0000_s1026" o:spt="20" style="position:absolute;left:4500;top:1138;height:0;width:360;" filled="f" stroked="t" coordsize="21600,21600" o:gfxdata="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Nb+q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w:pict>
          </mc:Fallback>
        </mc:AlternateContent>
      </w:r>
    </w:p>
    <w:p>
      <w:pPr>
        <w:rPr>
          <w:rFonts w:hint="default" w:ascii="Times New Roman" w:hAnsi="Times New Roman" w:eastAsia="宋体" w:cs="Times New Roman"/>
        </w:rPr>
      </w:pPr>
    </w:p>
    <w:p>
      <w:pPr>
        <w:rPr>
          <w:rFonts w:hint="default" w:ascii="Times New Roman" w:hAnsi="Times New Roman" w:eastAsia="宋体" w:cs="Times New Roman"/>
        </w:rPr>
      </w:pPr>
    </w:p>
    <w:p>
      <w:pPr>
        <w:rPr>
          <w:rFonts w:hint="default" w:ascii="Times New Roman" w:hAnsi="Times New Roman" w:eastAsia="宋体" w:cs="Times New Roman"/>
        </w:rPr>
      </w:pPr>
    </w:p>
    <w:p>
      <w:pPr>
        <w:rPr>
          <w:rFonts w:hint="default" w:ascii="Times New Roman" w:hAnsi="Times New Roman" w:eastAsia="宋体" w:cs="Times New Roman"/>
        </w:rPr>
      </w:pPr>
    </w:p>
    <w:p>
      <w:pPr>
        <w:pStyle w:val="27"/>
        <w:bidi w:val="0"/>
        <w:rPr>
          <w:rFonts w:hint="default"/>
          <w:lang w:val="en-US" w:eastAsia="zh-CN"/>
        </w:rPr>
      </w:pPr>
      <w:r>
        <w:rPr>
          <w:rFonts w:hint="default"/>
          <w:lang w:val="en-US" w:eastAsia="zh-CN"/>
        </w:rPr>
        <w:t>图</w:t>
      </w:r>
      <w:r>
        <w:rPr>
          <w:rFonts w:hint="eastAsia"/>
          <w:lang w:val="en-US" w:eastAsia="zh-CN"/>
        </w:rPr>
        <w:t>4</w:t>
      </w:r>
      <w:r>
        <w:rPr>
          <w:rFonts w:hint="default"/>
          <w:lang w:val="en-US" w:eastAsia="zh-CN"/>
        </w:rPr>
        <w:t>-2</w:t>
      </w:r>
      <w:r>
        <w:rPr>
          <w:rFonts w:hint="eastAsia"/>
          <w:lang w:val="en-US" w:eastAsia="zh-CN"/>
        </w:rPr>
        <w:t>-1</w:t>
      </w:r>
      <w:r>
        <w:rPr>
          <w:rFonts w:hint="default"/>
          <w:lang w:val="en-US" w:eastAsia="zh-CN"/>
        </w:rPr>
        <w:t xml:space="preserve">  临路口情况示意图</w:t>
      </w:r>
    </w:p>
    <w:p>
      <w:pPr>
        <w:pStyle w:val="6"/>
        <w:bidi w:val="0"/>
        <w:rPr>
          <w:rFonts w:hint="default"/>
          <w:lang w:val="en-US" w:eastAsia="zh-CN"/>
        </w:rPr>
      </w:pPr>
      <w:r>
        <w:rPr>
          <w:rFonts w:hint="eastAsia"/>
          <w:lang w:val="en-US" w:eastAsia="zh-CN"/>
        </w:rPr>
        <w:t>（7）</w:t>
      </w:r>
      <w:r>
        <w:rPr>
          <w:rFonts w:hint="default"/>
          <w:lang w:val="en-US" w:eastAsia="zh-CN"/>
        </w:rPr>
        <w:t>宗地开发程度修正</w:t>
      </w:r>
    </w:p>
    <w:p>
      <w:pPr>
        <w:bidi w:val="0"/>
        <w:rPr>
          <w:rFonts w:hint="default"/>
          <w:lang w:val="en-US" w:eastAsia="zh-CN"/>
        </w:rPr>
      </w:pPr>
      <w:r>
        <w:rPr>
          <w:rFonts w:hint="eastAsia"/>
          <w:lang w:val="en-US" w:eastAsia="zh-CN"/>
        </w:rPr>
        <w:t>随州市城区本次基准地价更新商业服务业用地设定的开发程度为红线外“六通一平”。</w:t>
      </w:r>
      <w:r>
        <w:rPr>
          <w:rFonts w:hint="default"/>
          <w:lang w:val="en-US" w:eastAsia="zh-CN"/>
        </w:rPr>
        <w:t>若宗地基础设施配套程度没有达到该程度，利用基准地价来评估宗地地价时就应该减去相应的开发费用；若待估宗地开发程度超过了设定程度，在评估单位地价时应加上相应开发费用。</w:t>
      </w:r>
    </w:p>
    <w:p>
      <w:pPr>
        <w:bidi w:val="0"/>
        <w:rPr>
          <w:rFonts w:hint="default"/>
          <w:lang w:val="en-US" w:eastAsia="zh-CN"/>
        </w:rPr>
      </w:pPr>
      <w:r>
        <w:rPr>
          <w:rFonts w:hint="default"/>
          <w:lang w:val="en-US" w:eastAsia="zh-CN"/>
        </w:rPr>
        <w:t>参考随州市</w:t>
      </w:r>
      <w:r>
        <w:rPr>
          <w:rFonts w:hint="eastAsia"/>
          <w:lang w:val="en-US" w:eastAsia="zh-CN"/>
        </w:rPr>
        <w:t>城区</w:t>
      </w:r>
      <w:r>
        <w:rPr>
          <w:rFonts w:hint="default"/>
          <w:lang w:val="en-US" w:eastAsia="zh-CN"/>
        </w:rPr>
        <w:t>基础设施配套费（按建筑面积计收），乘以随州市</w:t>
      </w:r>
      <w:r>
        <w:rPr>
          <w:rFonts w:hint="eastAsia"/>
          <w:lang w:val="en-US" w:eastAsia="zh-CN"/>
        </w:rPr>
        <w:t>城区商服</w:t>
      </w:r>
      <w:r>
        <w:rPr>
          <w:rFonts w:hint="default"/>
          <w:lang w:val="en-US" w:eastAsia="zh-CN"/>
        </w:rPr>
        <w:t>平均容积率2.5来测算，并综合现阶段物价上涨的情况确定土地开发费用。一般通路的费用会高一些，排水、</w:t>
      </w:r>
      <w:r>
        <w:rPr>
          <w:rFonts w:hint="eastAsia"/>
          <w:lang w:val="en-US" w:eastAsia="zh-CN"/>
        </w:rPr>
        <w:t>供水</w:t>
      </w:r>
      <w:r>
        <w:rPr>
          <w:rFonts w:hint="default"/>
          <w:lang w:val="en-US" w:eastAsia="zh-CN"/>
        </w:rPr>
        <w:t>、通电、通气其次，再次就是通讯，根据工程造价经验和相关城市基础配套设施费用比例可以确定本次随州市</w:t>
      </w:r>
      <w:r>
        <w:rPr>
          <w:rFonts w:hint="eastAsia"/>
          <w:lang w:val="en-US" w:eastAsia="zh-CN"/>
        </w:rPr>
        <w:t>城区</w:t>
      </w:r>
      <w:r>
        <w:rPr>
          <w:rFonts w:hint="default"/>
          <w:lang w:val="en-US" w:eastAsia="zh-CN"/>
        </w:rPr>
        <w:t>宗地开发程度修正值分别如下表所示（土地平整费用视具体情况而定）：</w:t>
      </w:r>
    </w:p>
    <w:p>
      <w:pPr>
        <w:pStyle w:val="27"/>
        <w:bidi w:val="0"/>
        <w:rPr>
          <w:rFonts w:hint="default"/>
          <w:lang w:val="en-US" w:eastAsia="zh-CN"/>
        </w:rPr>
      </w:pPr>
      <w:r>
        <w:rPr>
          <w:rFonts w:hint="default"/>
          <w:lang w:val="en-US" w:eastAsia="zh-CN"/>
        </w:rPr>
        <w:t>表</w:t>
      </w:r>
      <w:r>
        <w:rPr>
          <w:rFonts w:hint="eastAsia"/>
          <w:lang w:val="en-US" w:eastAsia="zh-CN"/>
        </w:rPr>
        <w:t>2-19</w:t>
      </w:r>
      <w:r>
        <w:rPr>
          <w:rFonts w:hint="default"/>
          <w:lang w:val="en-US" w:eastAsia="zh-CN"/>
        </w:rPr>
        <w:t xml:space="preserve"> 开发程度修正值范围表</w:t>
      </w:r>
    </w:p>
    <w:p>
      <w:pPr>
        <w:keepNext w:val="0"/>
        <w:keepLines w:val="0"/>
        <w:pageBreakBefore w:val="0"/>
        <w:widowControl w:val="0"/>
        <w:kinsoku/>
        <w:wordWrap/>
        <w:overflowPunct/>
        <w:topLinePunct w:val="0"/>
        <w:autoSpaceDE/>
        <w:autoSpaceDN/>
        <w:bidi w:val="0"/>
        <w:adjustRightInd/>
        <w:snapToGrid/>
        <w:spacing w:line="240" w:lineRule="auto"/>
        <w:ind w:firstLine="2349" w:firstLineChars="1300"/>
        <w:jc w:val="right"/>
        <w:textAlignment w:val="auto"/>
        <w:outlineLvl w:val="9"/>
        <w:rPr>
          <w:rFonts w:hint="eastAsia" w:ascii="仿宋" w:hAnsi="仿宋" w:eastAsia="仿宋" w:cs="仿宋"/>
          <w:sz w:val="18"/>
        </w:rPr>
      </w:pPr>
      <w:r>
        <w:rPr>
          <w:rFonts w:hint="eastAsia" w:ascii="仿宋" w:hAnsi="仿宋" w:eastAsia="仿宋" w:cs="仿宋"/>
          <w:b/>
          <w:sz w:val="18"/>
        </w:rPr>
        <w:t>单位：元/m</w:t>
      </w:r>
      <w:r>
        <w:rPr>
          <w:rFonts w:hint="eastAsia" w:ascii="仿宋" w:hAnsi="仿宋" w:eastAsia="仿宋" w:cs="仿宋"/>
          <w:b/>
          <w:sz w:val="18"/>
          <w:vertAlign w:val="superscript"/>
        </w:rPr>
        <w:t>2</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218"/>
        <w:gridCol w:w="1217"/>
        <w:gridCol w:w="1217"/>
        <w:gridCol w:w="1217"/>
        <w:gridCol w:w="1217"/>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2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开发程度</w:t>
            </w:r>
          </w:p>
        </w:tc>
        <w:tc>
          <w:tcPr>
            <w:tcW w:w="121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通路</w:t>
            </w:r>
          </w:p>
        </w:tc>
        <w:tc>
          <w:tcPr>
            <w:tcW w:w="121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通电</w:t>
            </w:r>
          </w:p>
        </w:tc>
        <w:tc>
          <w:tcPr>
            <w:tcW w:w="121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通上水</w:t>
            </w:r>
          </w:p>
        </w:tc>
        <w:tc>
          <w:tcPr>
            <w:tcW w:w="1217"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通下水</w:t>
            </w:r>
          </w:p>
        </w:tc>
        <w:tc>
          <w:tcPr>
            <w:tcW w:w="1217"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通气</w:t>
            </w:r>
          </w:p>
        </w:tc>
        <w:tc>
          <w:tcPr>
            <w:tcW w:w="1215"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22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六通一平</w:t>
            </w:r>
          </w:p>
        </w:tc>
        <w:tc>
          <w:tcPr>
            <w:tcW w:w="121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30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c>
          <w:tcPr>
            <w:tcW w:w="121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r>
    </w:tbl>
    <w:p>
      <w:pPr>
        <w:rPr>
          <w:rFonts w:hint="default"/>
          <w:lang w:val="en-US" w:eastAsia="zh-CN"/>
        </w:rPr>
      </w:pPr>
      <w:r>
        <w:rPr>
          <w:rFonts w:hint="default"/>
          <w:lang w:val="en-US" w:eastAsia="zh-CN"/>
        </w:rPr>
        <w:br w:type="page"/>
      </w:r>
    </w:p>
    <w:p>
      <w:pPr>
        <w:pStyle w:val="4"/>
        <w:bidi w:val="0"/>
        <w:rPr>
          <w:rFonts w:hint="eastAsia"/>
        </w:rPr>
      </w:pPr>
      <w:bookmarkStart w:id="17" w:name="_Toc18523"/>
      <w:r>
        <w:rPr>
          <w:rFonts w:hint="eastAsia"/>
          <w:lang w:val="en-US" w:eastAsia="zh-CN"/>
        </w:rPr>
        <w:t>（二）居住用地</w:t>
      </w:r>
      <w:r>
        <w:rPr>
          <w:rFonts w:hint="eastAsia"/>
        </w:rPr>
        <w:t>基准地价修正体系</w:t>
      </w:r>
      <w:bookmarkEnd w:id="17"/>
    </w:p>
    <w:p>
      <w:pPr>
        <w:pStyle w:val="5"/>
        <w:bidi w:val="0"/>
        <w:rPr>
          <w:rFonts w:hint="eastAsia"/>
          <w:lang w:val="en-US" w:eastAsia="zh-CN"/>
        </w:rPr>
      </w:pPr>
      <w:bookmarkStart w:id="18" w:name="_Toc10063"/>
      <w:r>
        <w:rPr>
          <w:rFonts w:hint="eastAsia"/>
          <w:lang w:val="en-US" w:eastAsia="zh-CN"/>
        </w:rPr>
        <w:t>1.居住用地</w:t>
      </w:r>
      <w:r>
        <w:rPr>
          <w:rFonts w:hint="eastAsia"/>
        </w:rPr>
        <w:t>基准地价</w:t>
      </w:r>
      <w:r>
        <w:rPr>
          <w:rFonts w:hint="eastAsia"/>
          <w:lang w:val="en-US" w:eastAsia="zh-CN"/>
        </w:rPr>
        <w:t>区域因素修正体系</w:t>
      </w:r>
      <w:bookmarkEnd w:id="18"/>
    </w:p>
    <w:p>
      <w:pPr>
        <w:pStyle w:val="6"/>
        <w:bidi w:val="0"/>
      </w:pPr>
      <w:r>
        <w:rPr>
          <w:rFonts w:hint="eastAsia"/>
        </w:rPr>
        <w:t>（</w:t>
      </w:r>
      <w:r>
        <w:rPr>
          <w:rFonts w:hint="eastAsia"/>
          <w:lang w:val="en-US" w:eastAsia="zh-CN"/>
        </w:rPr>
        <w:t>1</w:t>
      </w:r>
      <w:r>
        <w:rPr>
          <w:rFonts w:hint="eastAsia"/>
        </w:rPr>
        <w:t>）Ⅰ级</w:t>
      </w:r>
      <w:r>
        <w:rPr>
          <w:rFonts w:hint="eastAsia"/>
          <w:lang w:val="en-US" w:eastAsia="zh-CN"/>
        </w:rPr>
        <w:t>居住用地</w:t>
      </w:r>
      <w:r>
        <w:rPr>
          <w:rFonts w:hint="eastAsia"/>
        </w:rPr>
        <w:t>宗地地价区域因素修正系数</w:t>
      </w:r>
    </w:p>
    <w:p>
      <w:pPr>
        <w:pStyle w:val="27"/>
        <w:bidi w:val="0"/>
        <w:rPr>
          <w:rFonts w:hint="eastAsia"/>
          <w:lang w:val="en-US" w:eastAsia="zh-CN"/>
        </w:rPr>
      </w:pPr>
      <w:r>
        <w:rPr>
          <w:rFonts w:hint="eastAsia"/>
          <w:lang w:val="en-US" w:eastAsia="zh-CN"/>
        </w:rPr>
        <w:t>表2-20 Ⅰ居住用地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2"/>
        <w:gridCol w:w="1330"/>
        <w:gridCol w:w="1397"/>
        <w:gridCol w:w="1453"/>
        <w:gridCol w:w="1418"/>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4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3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39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45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1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37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距离幼儿园(米）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距离小学(米）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距离中学(米）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距离医院(米）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≤200或(300,500]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距离公园(米）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距集贸市场距离(米）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 或(200，400]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(1000,2000]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≤1000或(2000,3000]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(4000,6000]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景观条件优劣度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景观条件好，对土地利用极为有利</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景观条件良好，对土地利用较为有利</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景观条件一般，对土地利用无不良影响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景观条件较差，对土地利用有一定影响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景观条件差，对土地利用产生严重影响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大气状况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水质状况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Ⅲ类水域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噪声状况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繁华程度</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距商服中心距离(米）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≤200或(300，500]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商服网点密度(个/ 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人口密度(人/平方公里）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商业商务区、综合服务区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绿地休闲区、交通枢纽区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表2-21 Ⅰ居住用地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b/>
                <w:bCs/>
                <w:sz w:val="18"/>
              </w:rPr>
            </w:pPr>
            <w:r>
              <w:rPr>
                <w:rFonts w:hint="eastAsia"/>
                <w:b/>
                <w:bCs/>
                <w:sz w:val="18"/>
                <w:lang w:val="en-US" w:eastAsia="zh-CN"/>
              </w:rPr>
              <w:t>因素</w:t>
            </w:r>
          </w:p>
        </w:tc>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rFonts w:hint="eastAsia"/>
                <w:b/>
                <w:bCs/>
                <w:sz w:val="18"/>
              </w:rPr>
            </w:pPr>
            <w:r>
              <w:rPr>
                <w:rFonts w:hint="eastAsia"/>
                <w:b/>
                <w:bCs/>
                <w:sz w:val="18"/>
                <w:lang w:val="en-US" w:eastAsia="zh-CN"/>
              </w:rPr>
              <w:t>因子</w:t>
            </w:r>
          </w:p>
        </w:tc>
        <w:tc>
          <w:tcPr>
            <w:tcW w:w="1134"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基本设施状况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供气</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排水</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幼儿园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小学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中学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医院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集贸市场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道路通达度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公交便捷度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客运站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火车站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环境条件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地形状况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景观条件优劣度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大气状况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水质状况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噪声状况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繁华程度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商服中心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商服网点密度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发展潜力</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重点建设区规划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城市功能规划分区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2</w:t>
      </w:r>
      <w:r>
        <w:rPr>
          <w:rFonts w:hint="eastAsia"/>
        </w:rPr>
        <w:t>）</w:t>
      </w:r>
      <w:r>
        <w:rPr>
          <w:rFonts w:hint="eastAsia"/>
          <w:lang w:val="en-US" w:eastAsia="zh-CN"/>
        </w:rPr>
        <w:t>Ⅱ</w:t>
      </w:r>
      <w:r>
        <w:rPr>
          <w:rFonts w:hint="eastAsia"/>
        </w:rPr>
        <w:t>级</w:t>
      </w:r>
      <w:r>
        <w:rPr>
          <w:rFonts w:hint="eastAsia"/>
          <w:lang w:val="en-US" w:eastAsia="zh-CN"/>
        </w:rPr>
        <w:t>居住用地</w:t>
      </w:r>
      <w:r>
        <w:rPr>
          <w:rFonts w:hint="eastAsia"/>
        </w:rPr>
        <w:t>宗地地价区域因素修正系数</w:t>
      </w:r>
    </w:p>
    <w:p>
      <w:pPr>
        <w:pStyle w:val="27"/>
        <w:bidi w:val="0"/>
        <w:rPr>
          <w:rFonts w:hint="eastAsia"/>
          <w:lang w:val="en-US" w:eastAsia="zh-CN"/>
        </w:rPr>
      </w:pPr>
      <w:r>
        <w:rPr>
          <w:rFonts w:hint="eastAsia"/>
          <w:lang w:val="en-US" w:eastAsia="zh-CN"/>
        </w:rPr>
        <w:t>表2-22 Ⅱ居住用地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2"/>
        <w:gridCol w:w="1330"/>
        <w:gridCol w:w="1397"/>
        <w:gridCol w:w="1453"/>
        <w:gridCol w:w="1418"/>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4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3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39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45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1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37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距离幼儿园(米）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距离小学(米）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距离中学(米）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(400，700]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距离医院(米）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(200，500]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≤200或(500，800]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(800，1100]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(1100，1400]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距离公园(米）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(400，700]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距集贸市场距离(米）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 或(400，700]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≤100或(400，600]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(200,500]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≤200或(500,800]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(800,1100]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(1100,1400]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(1000,3000]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≤1000或(3000,4000]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(4000,5000]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景观条件优劣度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景观条件好，对土地利用极为有利</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景观条件良好，对土地利用较为有利</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景观条件一般，对土地利用无不良影响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景观条件较差，对土地利用有一定影响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景观条件差，对土地利用产生严重影响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大气状况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水质状况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Ⅲ类水域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噪声状况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繁华程度</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距商服中心距离(米）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(200，500]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 或(500，800]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(800，1100]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(1100，1400]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商服网点密度(个/ 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人口密度(人/平方公里）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商业商务区、综合服务区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绿地休闲区、交通枢纽区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表2-23 Ⅱ居住用地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b/>
                <w:bCs/>
                <w:sz w:val="18"/>
              </w:rPr>
            </w:pPr>
            <w:r>
              <w:rPr>
                <w:rFonts w:hint="eastAsia"/>
                <w:b/>
                <w:bCs/>
                <w:sz w:val="18"/>
                <w:lang w:val="en-US" w:eastAsia="zh-CN"/>
              </w:rPr>
              <w:t>因素</w:t>
            </w:r>
          </w:p>
        </w:tc>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rFonts w:hint="eastAsia"/>
                <w:b/>
                <w:bCs/>
                <w:sz w:val="18"/>
              </w:rPr>
            </w:pPr>
            <w:r>
              <w:rPr>
                <w:rFonts w:hint="eastAsia"/>
                <w:b/>
                <w:bCs/>
                <w:sz w:val="18"/>
                <w:lang w:val="en-US" w:eastAsia="zh-CN"/>
              </w:rPr>
              <w:t>因子</w:t>
            </w:r>
          </w:p>
        </w:tc>
        <w:tc>
          <w:tcPr>
            <w:tcW w:w="1134"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基本设施状况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供气</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排水</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幼儿园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小学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中学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医院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集贸市场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道路通达度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公交便捷度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客运站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火车站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环境条件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地形状况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景观条件优劣度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大气状况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水质状况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噪声状况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繁华程度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商服中心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商服网点密度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发展潜力</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重点建设区规划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城市功能规划分区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3</w:t>
      </w:r>
      <w:r>
        <w:rPr>
          <w:rFonts w:hint="eastAsia"/>
        </w:rPr>
        <w:t>）</w:t>
      </w:r>
      <w:r>
        <w:rPr>
          <w:rFonts w:hint="eastAsia"/>
          <w:lang w:val="en-US" w:eastAsia="zh-CN"/>
        </w:rPr>
        <w:t>Ⅲ</w:t>
      </w:r>
      <w:r>
        <w:rPr>
          <w:rFonts w:hint="eastAsia"/>
        </w:rPr>
        <w:t>级</w:t>
      </w:r>
      <w:r>
        <w:rPr>
          <w:rFonts w:hint="eastAsia"/>
          <w:lang w:val="en-US" w:eastAsia="zh-CN"/>
        </w:rPr>
        <w:t>居住用地</w:t>
      </w:r>
      <w:r>
        <w:rPr>
          <w:rFonts w:hint="eastAsia"/>
        </w:rPr>
        <w:t>宗地地价区域因素修正系数</w:t>
      </w:r>
    </w:p>
    <w:p>
      <w:pPr>
        <w:pStyle w:val="27"/>
        <w:bidi w:val="0"/>
        <w:rPr>
          <w:rFonts w:hint="eastAsia"/>
          <w:lang w:val="en-US" w:eastAsia="zh-CN"/>
        </w:rPr>
      </w:pPr>
      <w:r>
        <w:rPr>
          <w:rFonts w:hint="eastAsia"/>
          <w:lang w:val="en-US" w:eastAsia="zh-CN"/>
        </w:rPr>
        <w:t>表2-24 Ⅲ居住用地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2"/>
        <w:gridCol w:w="1330"/>
        <w:gridCol w:w="1397"/>
        <w:gridCol w:w="1453"/>
        <w:gridCol w:w="1418"/>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4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3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39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45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1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37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距离幼儿园(米）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距离小学(米）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(600,1000]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(1000,1400]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(1400,1800]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距离中学(米）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距离医院(米）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距离公园(米）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(600,900]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(900,1200]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距集贸市场距离(米）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(100,600]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 或(600,1000]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(100,600]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≤100或(600,800]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(1000,4000]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≤1000或(4000,5000]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(5000,6000]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(6000,8000]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景观条件优劣度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景观条件好，对土地利用极为有利</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景观条件良好，对土地利用较为有利</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景观条件一般，对土地利用无不良影响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景观条件较差，对土地利用有一定影响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景观条件差，对土地利用产生严重影响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大气状况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水质状况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Ⅲ类水域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噪声状况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繁华程度</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距商服中心距离(米）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商服网点密度(个/ 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(50，100]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人口密度(人/平方公里）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商业商务区、综合服务区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绿地休闲区、交通枢纽区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表2-25 Ⅲ居住用地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b/>
                <w:bCs/>
                <w:sz w:val="18"/>
              </w:rPr>
            </w:pPr>
            <w:r>
              <w:rPr>
                <w:rFonts w:hint="eastAsia"/>
                <w:b/>
                <w:bCs/>
                <w:sz w:val="18"/>
                <w:lang w:val="en-US" w:eastAsia="zh-CN"/>
              </w:rPr>
              <w:t>因素</w:t>
            </w:r>
          </w:p>
        </w:tc>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rFonts w:hint="eastAsia"/>
                <w:b/>
                <w:bCs/>
                <w:sz w:val="18"/>
              </w:rPr>
            </w:pPr>
            <w:r>
              <w:rPr>
                <w:rFonts w:hint="eastAsia"/>
                <w:b/>
                <w:bCs/>
                <w:sz w:val="18"/>
                <w:lang w:val="en-US" w:eastAsia="zh-CN"/>
              </w:rPr>
              <w:t>因子</w:t>
            </w:r>
          </w:p>
        </w:tc>
        <w:tc>
          <w:tcPr>
            <w:tcW w:w="1134"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基本设施状况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供气</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0.0107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排水</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幼儿园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小学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中学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医院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集贸市场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道路通达度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公交便捷度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客运站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火车站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环境条件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地形状况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景观条件优劣度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大气状况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水质状况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噪声状况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繁华程度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商服中心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商服网点密度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发展潜力</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重点建设区规划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城市功能规划分区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-0.0043</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4</w:t>
      </w:r>
      <w:r>
        <w:rPr>
          <w:rFonts w:hint="eastAsia"/>
        </w:rPr>
        <w:t>）</w:t>
      </w:r>
      <w:r>
        <w:rPr>
          <w:rFonts w:hint="eastAsia"/>
          <w:lang w:val="en-US" w:eastAsia="zh-CN"/>
        </w:rPr>
        <w:t>IV</w:t>
      </w:r>
      <w:r>
        <w:rPr>
          <w:rFonts w:hint="eastAsia"/>
        </w:rPr>
        <w:t>级</w:t>
      </w:r>
      <w:r>
        <w:rPr>
          <w:rFonts w:hint="eastAsia"/>
          <w:lang w:val="en-US" w:eastAsia="zh-CN"/>
        </w:rPr>
        <w:t>居住用地</w:t>
      </w:r>
      <w:r>
        <w:rPr>
          <w:rFonts w:hint="eastAsia"/>
        </w:rPr>
        <w:t>宗地地价区域因素修正系数</w:t>
      </w:r>
    </w:p>
    <w:p>
      <w:pPr>
        <w:pStyle w:val="27"/>
        <w:bidi w:val="0"/>
        <w:rPr>
          <w:rFonts w:hint="eastAsia"/>
          <w:lang w:val="en-US" w:eastAsia="zh-CN"/>
        </w:rPr>
      </w:pPr>
      <w:r>
        <w:rPr>
          <w:rFonts w:hint="eastAsia"/>
          <w:lang w:val="en-US" w:eastAsia="zh-CN"/>
        </w:rPr>
        <w:t>表2-26 IV居住用地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2"/>
        <w:gridCol w:w="1330"/>
        <w:gridCol w:w="1397"/>
        <w:gridCol w:w="1453"/>
        <w:gridCol w:w="1418"/>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4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3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39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45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1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37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距离幼儿园(米）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距离小学(米）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(800，1300]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(1300，1800]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距离中学(米）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(1500，2000]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(2000，2500]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距离医院(米）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≤200或(1000,2000]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距离公园(米）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距集贸市场距离(米）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 或(800,1200]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(1200,1700]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(1700,2200]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(100,800]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≤100或(800,1000]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(1200,1400]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≤200或(1000,2000]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(2000,4000]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≤2000或(4000,6000]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(6000,8000]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(8000,10000]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景观条件优劣度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景观条件好，对土地利用极为有利</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景观条件良好，对土地利用较为有利</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景观条件一般，对土地利用无不良影响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景观条件较差，对土地利用有一定影响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景观条件差，对土地利用产生严重影响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大气状况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水质状况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Ⅲ类水域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噪声状况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繁华程度</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距商服中心距离(米）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≤200或(1000，2000]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商服网点密度(个/ 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(50，100]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(20，50]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人口密度(人/平方公里）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商业商务区、综合服务区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绿地休闲区、交通枢纽区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表2-27 IV居住用地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b/>
                <w:bCs/>
                <w:sz w:val="18"/>
              </w:rPr>
            </w:pPr>
            <w:r>
              <w:rPr>
                <w:rFonts w:hint="eastAsia"/>
                <w:b/>
                <w:bCs/>
                <w:sz w:val="18"/>
                <w:lang w:val="en-US" w:eastAsia="zh-CN"/>
              </w:rPr>
              <w:t>因素</w:t>
            </w:r>
          </w:p>
        </w:tc>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rFonts w:hint="eastAsia"/>
                <w:b/>
                <w:bCs/>
                <w:sz w:val="18"/>
              </w:rPr>
            </w:pPr>
            <w:r>
              <w:rPr>
                <w:rFonts w:hint="eastAsia"/>
                <w:b/>
                <w:bCs/>
                <w:sz w:val="18"/>
                <w:lang w:val="en-US" w:eastAsia="zh-CN"/>
              </w:rPr>
              <w:t>因子</w:t>
            </w:r>
          </w:p>
        </w:tc>
        <w:tc>
          <w:tcPr>
            <w:tcW w:w="1134"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基本设施状况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供气</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排水</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幼儿园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小学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中学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医院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集贸市场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道路通达度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公交便捷度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客运站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火车站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环境条件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地形状况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景观条件优劣度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大气状况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水质状况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噪声状况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繁华程度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商服中心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商服网点密度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发展潜力</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重点建设区规划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城市功能规划分区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5</w:t>
      </w:r>
      <w:r>
        <w:rPr>
          <w:rFonts w:hint="eastAsia"/>
        </w:rPr>
        <w:t>）</w:t>
      </w:r>
      <w:r>
        <w:rPr>
          <w:rFonts w:hint="eastAsia"/>
          <w:lang w:val="en-US" w:eastAsia="zh-CN"/>
        </w:rPr>
        <w:t>Ⅴ</w:t>
      </w:r>
      <w:r>
        <w:rPr>
          <w:rFonts w:hint="eastAsia"/>
        </w:rPr>
        <w:t>级</w:t>
      </w:r>
      <w:r>
        <w:rPr>
          <w:rFonts w:hint="eastAsia"/>
          <w:lang w:val="en-US" w:eastAsia="zh-CN"/>
        </w:rPr>
        <w:t>居住用地</w:t>
      </w:r>
      <w:r>
        <w:rPr>
          <w:rFonts w:hint="eastAsia"/>
        </w:rPr>
        <w:t>宗地地价区域因素修正系数</w:t>
      </w:r>
    </w:p>
    <w:p>
      <w:pPr>
        <w:pStyle w:val="27"/>
        <w:bidi w:val="0"/>
        <w:rPr>
          <w:rFonts w:hint="eastAsia"/>
          <w:lang w:val="en-US" w:eastAsia="zh-CN"/>
        </w:rPr>
      </w:pPr>
      <w:r>
        <w:rPr>
          <w:rFonts w:hint="eastAsia"/>
          <w:lang w:val="en-US" w:eastAsia="zh-CN"/>
        </w:rPr>
        <w:t>表2-28 Ⅴ居住用地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2"/>
        <w:gridCol w:w="1330"/>
        <w:gridCol w:w="1397"/>
        <w:gridCol w:w="1453"/>
        <w:gridCol w:w="1418"/>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4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3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39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45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1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37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距离幼儿园(米）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(500，800]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距离小学(米）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(1500，2000]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(2000，2500]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距离中学(米）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(1200,1700]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(1700,2200]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(2200,2700]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距离医院(米）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(200,1500]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≤200或(1500,2500]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(2500,3500]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(3500,4500]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距离公园(米）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(1400,1800]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距集贸市场距离(米）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 或(400,700]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≤100或(1000,1200]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(1200,1400]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(1400,1600]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≤200或(1200,2200]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(2200,3200]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(3200,4200]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(4000,6000]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≤4000或(4000,6000]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(6000,10000]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(10000,15000]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景观条件优劣度</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景观条件好，对土地利用极为有利</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景观条件良好，对土地利用较为有利</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景观条件一般，对土地利用无不良影响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景观条件较差，对土地利用有一定影响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景观条件差，对土地利用产生严重影响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大气状况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水质状况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Ⅱ类水域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Ⅲ类水域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Ⅳ类水域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噪声状况</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繁华程度</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距商服中心距离(米）</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≤200或(1200，2200]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(2200,3200]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(3200,4200]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商服网点密度(个/ 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(60，100]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(30，60]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(10，30]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人口状况</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人口密度(人/平方公里）</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商业商务区、综合服务区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绿地休闲区、交通枢纽区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rPr>
          <w:rFonts w:hint="default"/>
          <w:lang w:val="en-US" w:eastAsia="zh-CN"/>
        </w:rPr>
      </w:pPr>
      <w:r>
        <w:rPr>
          <w:rFonts w:hint="default"/>
          <w:lang w:val="en-US" w:eastAsia="zh-CN"/>
        </w:rPr>
        <w:br w:type="page"/>
      </w:r>
    </w:p>
    <w:p>
      <w:pPr>
        <w:pStyle w:val="27"/>
        <w:bidi w:val="0"/>
        <w:rPr>
          <w:rFonts w:hint="eastAsia"/>
          <w:lang w:val="en-US" w:eastAsia="zh-CN"/>
        </w:rPr>
      </w:pPr>
      <w:r>
        <w:rPr>
          <w:rFonts w:hint="eastAsia"/>
          <w:lang w:val="en-US" w:eastAsia="zh-CN"/>
        </w:rPr>
        <w:t>表2-29 Ⅴ居住用地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b/>
                <w:bCs/>
                <w:sz w:val="18"/>
              </w:rPr>
            </w:pPr>
            <w:r>
              <w:rPr>
                <w:rFonts w:hint="eastAsia"/>
                <w:b/>
                <w:bCs/>
                <w:sz w:val="18"/>
                <w:lang w:val="en-US" w:eastAsia="zh-CN"/>
              </w:rPr>
              <w:t>因素</w:t>
            </w:r>
          </w:p>
        </w:tc>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bidi w:val="0"/>
              <w:jc w:val="center"/>
              <w:rPr>
                <w:rFonts w:hint="eastAsia"/>
                <w:b/>
                <w:bCs/>
                <w:sz w:val="18"/>
              </w:rPr>
            </w:pPr>
            <w:r>
              <w:rPr>
                <w:rFonts w:hint="eastAsia"/>
                <w:b/>
                <w:bCs/>
                <w:sz w:val="18"/>
                <w:lang w:val="en-US" w:eastAsia="zh-CN"/>
              </w:rPr>
              <w:t>因子</w:t>
            </w:r>
          </w:p>
        </w:tc>
        <w:tc>
          <w:tcPr>
            <w:tcW w:w="1134"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bidi w:val="0"/>
              <w:jc w:val="center"/>
              <w:rPr>
                <w:rFonts w:hint="eastAsia"/>
                <w:b/>
                <w:bCs/>
                <w:sz w:val="18"/>
              </w:rPr>
            </w:pPr>
            <w:r>
              <w:rPr>
                <w:rFonts w:hint="eastAsia"/>
                <w:b/>
                <w:bCs/>
                <w:sz w:val="18"/>
                <w:lang w:val="en-US" w:eastAsia="zh-CN"/>
              </w:rPr>
              <w:t>权重</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较优</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一般</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较劣</w:t>
            </w:r>
          </w:p>
        </w:tc>
        <w:tc>
          <w:tcPr>
            <w:tcW w:w="113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bidi w:val="0"/>
              <w:jc w:val="center"/>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基本设施状况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供气</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排水</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幼儿园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小学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0.0275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中学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0.0305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医院</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公园</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集贸市场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道路通达度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公交便捷度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客运站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火车站</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0.0341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环境条件</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地形状况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景观条件优劣度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大气状况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水质状况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噪声状况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繁华程度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商服中心</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商服网点密度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0.0578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人口状况</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人口密度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0.0681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发展潜力</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交通规划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0.0196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重点建设区规划</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0.0169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城市功能规划分区</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rPr>
            </w:pPr>
            <w:r>
              <w:rPr>
                <w:rFonts w:hint="default"/>
                <w:sz w:val="18"/>
                <w:lang w:val="en-US" w:eastAsia="zh-CN"/>
              </w:rPr>
              <w:t>0.0212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-0.0042</w:t>
            </w:r>
          </w:p>
        </w:tc>
      </w:tr>
    </w:tbl>
    <w:p>
      <w:pPr>
        <w:rPr>
          <w:rFonts w:hint="default"/>
          <w:lang w:val="en-US" w:eastAsia="zh-CN"/>
        </w:rPr>
      </w:pPr>
      <w:r>
        <w:rPr>
          <w:rFonts w:hint="default"/>
          <w:lang w:val="en-US" w:eastAsia="zh-CN"/>
        </w:rPr>
        <w:br w:type="page"/>
      </w:r>
    </w:p>
    <w:p>
      <w:pPr>
        <w:pStyle w:val="5"/>
        <w:bidi w:val="0"/>
        <w:rPr>
          <w:rFonts w:hint="eastAsia"/>
          <w:lang w:val="en-US" w:eastAsia="zh-CN"/>
        </w:rPr>
      </w:pPr>
      <w:bookmarkStart w:id="19" w:name="_Toc12823"/>
      <w:r>
        <w:rPr>
          <w:rFonts w:hint="eastAsia"/>
          <w:lang w:val="en-US" w:eastAsia="zh-CN"/>
        </w:rPr>
        <w:t>2.居住用地</w:t>
      </w:r>
      <w:r>
        <w:rPr>
          <w:rFonts w:hint="eastAsia"/>
        </w:rPr>
        <w:t>基准地价个别因素修正体系</w:t>
      </w:r>
      <w:bookmarkEnd w:id="19"/>
    </w:p>
    <w:p>
      <w:pPr>
        <w:pStyle w:val="6"/>
        <w:bidi w:val="0"/>
        <w:rPr>
          <w:rFonts w:hint="default"/>
          <w:lang w:val="en-US" w:eastAsia="zh-CN"/>
        </w:rPr>
      </w:pPr>
      <w:bookmarkStart w:id="20" w:name="_Toc280274336"/>
      <w:r>
        <w:rPr>
          <w:rFonts w:hint="default"/>
          <w:lang w:val="en-US" w:eastAsia="zh-CN"/>
        </w:rPr>
        <w:t>（</w:t>
      </w:r>
      <w:r>
        <w:rPr>
          <w:rFonts w:hint="eastAsia"/>
          <w:lang w:val="en-US" w:eastAsia="zh-CN"/>
        </w:rPr>
        <w:t>1</w:t>
      </w:r>
      <w:r>
        <w:rPr>
          <w:rFonts w:hint="default"/>
          <w:lang w:val="en-US" w:eastAsia="zh-CN"/>
        </w:rPr>
        <w:t>）容积率修正</w:t>
      </w:r>
      <w:bookmarkEnd w:id="20"/>
      <w:r>
        <w:rPr>
          <w:rFonts w:hint="default"/>
          <w:lang w:val="en-US" w:eastAsia="zh-CN"/>
        </w:rPr>
        <w:t>系数</w:t>
      </w:r>
    </w:p>
    <w:p>
      <w:pPr>
        <w:bidi w:val="0"/>
        <w:rPr>
          <w:rFonts w:hint="default"/>
          <w:lang w:val="en-US" w:eastAsia="zh-CN"/>
        </w:rPr>
      </w:pPr>
      <w:r>
        <w:rPr>
          <w:rFonts w:hint="eastAsia"/>
          <w:lang w:val="en-US" w:eastAsia="zh-CN"/>
        </w:rPr>
        <w:t>居住用地</w:t>
      </w:r>
      <w:r>
        <w:rPr>
          <w:rFonts w:hint="default"/>
          <w:lang w:val="en-US" w:eastAsia="zh-CN"/>
        </w:rPr>
        <w:t>容积率与容积率修正系数关系的确定同</w:t>
      </w:r>
      <w:r>
        <w:rPr>
          <w:rFonts w:hint="eastAsia"/>
          <w:lang w:val="en-US" w:eastAsia="zh-CN"/>
        </w:rPr>
        <w:t>商服</w:t>
      </w:r>
      <w:r>
        <w:rPr>
          <w:rFonts w:hint="default"/>
          <w:lang w:val="en-US" w:eastAsia="zh-CN"/>
        </w:rPr>
        <w:t>用地，具体函数关系见下表。</w:t>
      </w:r>
    </w:p>
    <w:p>
      <w:pPr>
        <w:pStyle w:val="27"/>
        <w:bidi w:val="0"/>
        <w:rPr>
          <w:rFonts w:hint="default"/>
          <w:lang w:val="en-US" w:eastAsia="zh-CN"/>
        </w:rPr>
      </w:pPr>
      <w:r>
        <w:rPr>
          <w:rFonts w:hint="default"/>
          <w:lang w:val="en-US" w:eastAsia="zh-CN"/>
        </w:rPr>
        <w:t>表</w:t>
      </w:r>
      <w:r>
        <w:rPr>
          <w:rFonts w:hint="eastAsia"/>
          <w:lang w:val="en-US" w:eastAsia="zh-CN"/>
        </w:rPr>
        <w:t>2-30</w:t>
      </w:r>
      <w:r>
        <w:rPr>
          <w:rFonts w:hint="default"/>
          <w:lang w:val="en-US" w:eastAsia="zh-CN"/>
        </w:rPr>
        <w:t xml:space="preserve"> 容积率与</w:t>
      </w:r>
      <w:r>
        <w:rPr>
          <w:rFonts w:hint="eastAsia"/>
          <w:lang w:val="en-US" w:eastAsia="zh-CN"/>
        </w:rPr>
        <w:t>居住用地</w:t>
      </w:r>
      <w:r>
        <w:rPr>
          <w:rFonts w:hint="default"/>
          <w:lang w:val="en-US" w:eastAsia="zh-CN"/>
        </w:rPr>
        <w:t>价格的函数关系</w:t>
      </w:r>
    </w:p>
    <w:tbl>
      <w:tblPr>
        <w:tblStyle w:val="21"/>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580"/>
        <w:gridCol w:w="5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shd w:val="clear" w:color="auto" w:fill="A4A4A4"/>
            <w:noWrap w:val="0"/>
            <w:vAlign w:val="center"/>
          </w:tcPr>
          <w:p>
            <w:pPr>
              <w:pStyle w:val="26"/>
              <w:bidi w:val="0"/>
              <w:rPr>
                <w:rFonts w:hint="default"/>
                <w:b/>
                <w:bCs/>
                <w:lang w:val="en-US" w:eastAsia="zh-CN"/>
              </w:rPr>
            </w:pPr>
            <w:r>
              <w:rPr>
                <w:rFonts w:hint="default"/>
                <w:b/>
                <w:bCs/>
                <w:lang w:val="en-US" w:eastAsia="zh-CN"/>
              </w:rPr>
              <w:t>用途</w:t>
            </w:r>
          </w:p>
        </w:tc>
        <w:tc>
          <w:tcPr>
            <w:tcW w:w="1580" w:type="dxa"/>
            <w:shd w:val="clear" w:color="auto" w:fill="A4A4A4"/>
            <w:noWrap w:val="0"/>
            <w:vAlign w:val="center"/>
          </w:tcPr>
          <w:p>
            <w:pPr>
              <w:pStyle w:val="26"/>
              <w:bidi w:val="0"/>
              <w:rPr>
                <w:rFonts w:hint="default"/>
                <w:b/>
                <w:bCs/>
                <w:lang w:val="en-US" w:eastAsia="zh-CN"/>
              </w:rPr>
            </w:pPr>
            <w:r>
              <w:rPr>
                <w:rFonts w:hint="default"/>
                <w:b/>
                <w:bCs/>
                <w:lang w:val="en-US" w:eastAsia="zh-CN"/>
              </w:rPr>
              <w:t>级别</w:t>
            </w:r>
          </w:p>
        </w:tc>
        <w:tc>
          <w:tcPr>
            <w:tcW w:w="5727" w:type="dxa"/>
            <w:shd w:val="clear" w:color="auto" w:fill="A4A4A4"/>
            <w:noWrap w:val="0"/>
            <w:vAlign w:val="center"/>
          </w:tcPr>
          <w:p>
            <w:pPr>
              <w:pStyle w:val="26"/>
              <w:bidi w:val="0"/>
              <w:rPr>
                <w:rFonts w:hint="default"/>
                <w:b/>
                <w:bCs/>
                <w:lang w:val="en-US" w:eastAsia="zh-CN"/>
              </w:rPr>
            </w:pPr>
            <w:r>
              <w:rPr>
                <w:rFonts w:hint="default"/>
                <w:b/>
                <w:bCs/>
                <w:lang w:val="en-US" w:eastAsia="zh-CN"/>
              </w:rPr>
              <w:t>函数关系(x代表容积率，y代表</w:t>
            </w:r>
            <w:r>
              <w:rPr>
                <w:rFonts w:hint="eastAsia"/>
                <w:b/>
                <w:bCs/>
                <w:lang w:val="en-US" w:eastAsia="zh-CN"/>
              </w:rPr>
              <w:t>居住用地</w:t>
            </w:r>
            <w:r>
              <w:rPr>
                <w:rFonts w:hint="default"/>
                <w:b/>
                <w:bCs/>
                <w:lang w:val="en-US" w:eastAsia="zh-CN"/>
              </w:rPr>
              <w:t>价格</w:t>
            </w:r>
            <w:r>
              <w:rPr>
                <w:rFonts w:hint="eastAsia"/>
                <w:b/>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vMerge w:val="restart"/>
            <w:noWrap w:val="0"/>
            <w:vAlign w:val="center"/>
          </w:tcPr>
          <w:p>
            <w:pPr>
              <w:pStyle w:val="26"/>
              <w:bidi w:val="0"/>
              <w:rPr>
                <w:rFonts w:hint="default"/>
                <w:lang w:val="en-US" w:eastAsia="zh-CN"/>
              </w:rPr>
            </w:pPr>
            <w:r>
              <w:rPr>
                <w:rFonts w:hint="eastAsia"/>
                <w:lang w:val="en-US" w:eastAsia="zh-CN"/>
              </w:rPr>
              <w:t>居住用地</w:t>
            </w:r>
          </w:p>
        </w:tc>
        <w:tc>
          <w:tcPr>
            <w:tcW w:w="1580" w:type="dxa"/>
            <w:noWrap w:val="0"/>
            <w:vAlign w:val="center"/>
          </w:tcPr>
          <w:p>
            <w:pPr>
              <w:pStyle w:val="26"/>
              <w:bidi w:val="0"/>
              <w:rPr>
                <w:rFonts w:hint="default"/>
                <w:lang w:val="en-US" w:eastAsia="zh-CN"/>
              </w:rPr>
            </w:pPr>
            <w:r>
              <w:rPr>
                <w:rFonts w:hint="default"/>
                <w:lang w:val="en-US" w:eastAsia="zh-CN"/>
              </w:rPr>
              <w:t>Ⅰ级</w:t>
            </w:r>
          </w:p>
        </w:tc>
        <w:tc>
          <w:tcPr>
            <w:tcW w:w="5727" w:type="dxa"/>
            <w:noWrap w:val="0"/>
            <w:vAlign w:val="center"/>
          </w:tcPr>
          <w:p>
            <w:pPr>
              <w:pStyle w:val="26"/>
              <w:bidi w:val="0"/>
              <w:rPr>
                <w:rFonts w:hint="default"/>
                <w:lang w:val="en-US" w:eastAsia="zh-CN"/>
              </w:rPr>
            </w:pPr>
            <w:r>
              <w:rPr>
                <w:rFonts w:hint="default"/>
                <w:lang w:val="en-US" w:eastAsia="zh-CN"/>
              </w:rPr>
              <w:t>y=-0.60</w:t>
            </w:r>
            <w:r>
              <w:rPr>
                <w:rFonts w:hint="eastAsia"/>
                <w:lang w:val="en-US" w:eastAsia="zh-CN"/>
              </w:rPr>
              <w:t>42</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1023.45</w:t>
            </w:r>
            <w:r>
              <w:rPr>
                <w:rFonts w:hint="default"/>
                <w:lang w:val="en-US" w:eastAsia="zh-CN"/>
              </w:rPr>
              <w:t>x+</w:t>
            </w:r>
            <w:r>
              <w:rPr>
                <w:rFonts w:hint="eastAsia"/>
                <w:lang w:val="en-US" w:eastAsia="zh-CN"/>
              </w:rPr>
              <w:t>448.174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vMerge w:val="continue"/>
            <w:noWrap w:val="0"/>
            <w:vAlign w:val="center"/>
          </w:tcPr>
          <w:p>
            <w:pPr>
              <w:pStyle w:val="26"/>
              <w:bidi w:val="0"/>
              <w:rPr>
                <w:rFonts w:hint="default"/>
                <w:lang w:val="en-US" w:eastAsia="zh-CN"/>
              </w:rPr>
            </w:pPr>
          </w:p>
        </w:tc>
        <w:tc>
          <w:tcPr>
            <w:tcW w:w="1580" w:type="dxa"/>
            <w:noWrap w:val="0"/>
            <w:vAlign w:val="center"/>
          </w:tcPr>
          <w:p>
            <w:pPr>
              <w:pStyle w:val="26"/>
              <w:bidi w:val="0"/>
              <w:rPr>
                <w:rFonts w:hint="default"/>
                <w:lang w:val="en-US" w:eastAsia="zh-CN"/>
              </w:rPr>
            </w:pPr>
            <w:r>
              <w:rPr>
                <w:rFonts w:hint="default"/>
                <w:lang w:val="en-US" w:eastAsia="zh-CN"/>
              </w:rPr>
              <w:t>Ⅱ级</w:t>
            </w:r>
          </w:p>
        </w:tc>
        <w:tc>
          <w:tcPr>
            <w:tcW w:w="5727" w:type="dxa"/>
            <w:noWrap w:val="0"/>
            <w:vAlign w:val="center"/>
          </w:tcPr>
          <w:p>
            <w:pPr>
              <w:pStyle w:val="26"/>
              <w:bidi w:val="0"/>
              <w:rPr>
                <w:rFonts w:hint="default"/>
                <w:lang w:val="en-US" w:eastAsia="zh-CN"/>
              </w:rPr>
            </w:pPr>
            <w:r>
              <w:rPr>
                <w:rFonts w:hint="default"/>
                <w:lang w:val="en-US" w:eastAsia="zh-CN"/>
              </w:rPr>
              <w:t>y=-0.</w:t>
            </w:r>
            <w:r>
              <w:rPr>
                <w:rFonts w:hint="eastAsia"/>
                <w:lang w:val="en-US" w:eastAsia="zh-CN"/>
              </w:rPr>
              <w:t>572</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745.34</w:t>
            </w:r>
            <w:r>
              <w:rPr>
                <w:rFonts w:hint="default"/>
                <w:lang w:val="en-US" w:eastAsia="zh-CN"/>
              </w:rPr>
              <w:t>x+</w:t>
            </w:r>
            <w:r>
              <w:rPr>
                <w:rFonts w:hint="eastAsia"/>
                <w:lang w:val="en-US" w:eastAsia="zh-CN"/>
              </w:rPr>
              <w:t>373.923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vMerge w:val="continue"/>
            <w:noWrap w:val="0"/>
            <w:vAlign w:val="center"/>
          </w:tcPr>
          <w:p>
            <w:pPr>
              <w:pStyle w:val="26"/>
              <w:bidi w:val="0"/>
              <w:rPr>
                <w:rFonts w:hint="default"/>
                <w:lang w:val="en-US" w:eastAsia="zh-CN"/>
              </w:rPr>
            </w:pPr>
          </w:p>
        </w:tc>
        <w:tc>
          <w:tcPr>
            <w:tcW w:w="1580" w:type="dxa"/>
            <w:noWrap w:val="0"/>
            <w:vAlign w:val="center"/>
          </w:tcPr>
          <w:p>
            <w:pPr>
              <w:pStyle w:val="26"/>
              <w:bidi w:val="0"/>
              <w:rPr>
                <w:rFonts w:hint="default"/>
                <w:lang w:val="en-US" w:eastAsia="zh-CN"/>
              </w:rPr>
            </w:pPr>
            <w:r>
              <w:rPr>
                <w:rFonts w:hint="default"/>
                <w:lang w:val="en-US" w:eastAsia="zh-CN"/>
              </w:rPr>
              <w:t>Ⅲ级</w:t>
            </w:r>
          </w:p>
        </w:tc>
        <w:tc>
          <w:tcPr>
            <w:tcW w:w="5727" w:type="dxa"/>
            <w:noWrap w:val="0"/>
            <w:vAlign w:val="center"/>
          </w:tcPr>
          <w:p>
            <w:pPr>
              <w:pStyle w:val="26"/>
              <w:bidi w:val="0"/>
              <w:rPr>
                <w:rFonts w:hint="default"/>
                <w:lang w:val="en-US" w:eastAsia="zh-CN"/>
              </w:rPr>
            </w:pPr>
            <w:r>
              <w:rPr>
                <w:rFonts w:hint="default"/>
                <w:lang w:val="en-US" w:eastAsia="zh-CN"/>
              </w:rPr>
              <w:t>y=-0.5</w:t>
            </w:r>
            <w:r>
              <w:rPr>
                <w:rFonts w:hint="eastAsia"/>
                <w:lang w:val="en-US" w:eastAsia="zh-CN"/>
              </w:rPr>
              <w:t>34</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508.35</w:t>
            </w:r>
            <w:r>
              <w:rPr>
                <w:rFonts w:hint="default"/>
                <w:lang w:val="en-US" w:eastAsia="zh-CN"/>
              </w:rPr>
              <w:t>x+3</w:t>
            </w:r>
            <w:r>
              <w:rPr>
                <w:rFonts w:hint="eastAsia"/>
                <w:lang w:val="en-US" w:eastAsia="zh-CN"/>
              </w:rPr>
              <w:t>59.258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vMerge w:val="continue"/>
            <w:noWrap w:val="0"/>
            <w:vAlign w:val="center"/>
          </w:tcPr>
          <w:p>
            <w:pPr>
              <w:pStyle w:val="26"/>
              <w:bidi w:val="0"/>
              <w:rPr>
                <w:rFonts w:hint="default"/>
                <w:lang w:val="en-US" w:eastAsia="zh-CN"/>
              </w:rPr>
            </w:pPr>
          </w:p>
        </w:tc>
        <w:tc>
          <w:tcPr>
            <w:tcW w:w="1580" w:type="dxa"/>
            <w:noWrap w:val="0"/>
            <w:vAlign w:val="center"/>
          </w:tcPr>
          <w:p>
            <w:pPr>
              <w:pStyle w:val="26"/>
              <w:bidi w:val="0"/>
              <w:rPr>
                <w:rFonts w:hint="default"/>
                <w:lang w:val="en-US" w:eastAsia="zh-CN"/>
              </w:rPr>
            </w:pPr>
            <w:r>
              <w:rPr>
                <w:rFonts w:hint="default"/>
                <w:lang w:val="en-US" w:eastAsia="zh-CN"/>
              </w:rPr>
              <w:t>Ⅳ级</w:t>
            </w:r>
          </w:p>
        </w:tc>
        <w:tc>
          <w:tcPr>
            <w:tcW w:w="5727" w:type="dxa"/>
            <w:noWrap w:val="0"/>
            <w:vAlign w:val="center"/>
          </w:tcPr>
          <w:p>
            <w:pPr>
              <w:pStyle w:val="26"/>
              <w:bidi w:val="0"/>
              <w:rPr>
                <w:rFonts w:hint="default"/>
                <w:lang w:val="en-US" w:eastAsia="zh-CN"/>
              </w:rPr>
            </w:pPr>
            <w:r>
              <w:rPr>
                <w:rFonts w:hint="default"/>
                <w:lang w:val="en-US" w:eastAsia="zh-CN"/>
              </w:rPr>
              <w:t>y=-0.</w:t>
            </w:r>
            <w:r>
              <w:rPr>
                <w:rFonts w:hint="eastAsia"/>
                <w:lang w:val="en-US" w:eastAsia="zh-CN"/>
              </w:rPr>
              <w:t>252</w:t>
            </w:r>
            <w:r>
              <w:rPr>
                <w:rFonts w:hint="default"/>
                <w:lang w:val="en-US" w:eastAsia="zh-CN"/>
              </w:rPr>
              <w:t>x</w:t>
            </w:r>
            <w:r>
              <w:rPr>
                <w:rFonts w:hint="default"/>
                <w:sz w:val="24"/>
                <w:vertAlign w:val="superscript"/>
                <w:lang w:val="en-US" w:eastAsia="zh-CN"/>
              </w:rPr>
              <w:t>2</w:t>
            </w:r>
            <w:r>
              <w:rPr>
                <w:rFonts w:hint="default"/>
                <w:lang w:val="en-US" w:eastAsia="zh-CN"/>
              </w:rPr>
              <w:t>+31</w:t>
            </w:r>
            <w:r>
              <w:rPr>
                <w:rFonts w:hint="eastAsia"/>
                <w:lang w:val="en-US" w:eastAsia="zh-CN"/>
              </w:rPr>
              <w:t>8.29</w:t>
            </w:r>
            <w:r>
              <w:rPr>
                <w:rFonts w:hint="default"/>
                <w:lang w:val="en-US" w:eastAsia="zh-CN"/>
              </w:rPr>
              <w:t>x+</w:t>
            </w:r>
            <w:r>
              <w:rPr>
                <w:rFonts w:hint="eastAsia"/>
                <w:lang w:val="en-US" w:eastAsia="zh-CN"/>
              </w:rPr>
              <w:t>312.582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1215" w:type="dxa"/>
            <w:vMerge w:val="continue"/>
            <w:noWrap w:val="0"/>
            <w:vAlign w:val="center"/>
          </w:tcPr>
          <w:p>
            <w:pPr>
              <w:pStyle w:val="26"/>
              <w:bidi w:val="0"/>
              <w:rPr>
                <w:rFonts w:hint="default"/>
                <w:lang w:val="en-US" w:eastAsia="zh-CN"/>
              </w:rPr>
            </w:pPr>
          </w:p>
        </w:tc>
        <w:tc>
          <w:tcPr>
            <w:tcW w:w="1580" w:type="dxa"/>
            <w:noWrap w:val="0"/>
            <w:vAlign w:val="center"/>
          </w:tcPr>
          <w:p>
            <w:pPr>
              <w:pStyle w:val="26"/>
              <w:bidi w:val="0"/>
              <w:rPr>
                <w:rFonts w:hint="default"/>
                <w:lang w:val="en-US" w:eastAsia="zh-CN"/>
              </w:rPr>
            </w:pPr>
            <w:r>
              <w:rPr>
                <w:rFonts w:hint="default"/>
                <w:lang w:val="en-US" w:eastAsia="zh-CN"/>
              </w:rPr>
              <w:t>Ⅴ级</w:t>
            </w:r>
          </w:p>
        </w:tc>
        <w:tc>
          <w:tcPr>
            <w:tcW w:w="5727" w:type="dxa"/>
            <w:noWrap w:val="0"/>
            <w:vAlign w:val="center"/>
          </w:tcPr>
          <w:p>
            <w:pPr>
              <w:pStyle w:val="26"/>
              <w:bidi w:val="0"/>
              <w:rPr>
                <w:rFonts w:hint="default"/>
                <w:lang w:val="en-US" w:eastAsia="zh-CN"/>
              </w:rPr>
            </w:pPr>
            <w:r>
              <w:rPr>
                <w:rFonts w:hint="default"/>
                <w:lang w:val="en-US" w:eastAsia="zh-CN"/>
              </w:rPr>
              <w:t>y=-0.3</w:t>
            </w:r>
            <w:r>
              <w:rPr>
                <w:rFonts w:hint="eastAsia"/>
                <w:lang w:val="en-US" w:eastAsia="zh-CN"/>
              </w:rPr>
              <w:t>7</w:t>
            </w:r>
            <w:r>
              <w:rPr>
                <w:rFonts w:hint="default"/>
                <w:lang w:val="en-US" w:eastAsia="zh-CN"/>
              </w:rPr>
              <w:t>1x</w:t>
            </w:r>
            <w:r>
              <w:rPr>
                <w:rFonts w:hint="default"/>
                <w:sz w:val="24"/>
                <w:vertAlign w:val="superscript"/>
                <w:lang w:val="en-US" w:eastAsia="zh-CN"/>
              </w:rPr>
              <w:t>2</w:t>
            </w:r>
            <w:r>
              <w:rPr>
                <w:rFonts w:hint="default"/>
                <w:lang w:val="en-US" w:eastAsia="zh-CN"/>
              </w:rPr>
              <w:t>+</w:t>
            </w:r>
            <w:r>
              <w:rPr>
                <w:rFonts w:hint="eastAsia"/>
                <w:lang w:val="en-US" w:eastAsia="zh-CN"/>
              </w:rPr>
              <w:t>191.56</w:t>
            </w:r>
            <w:r>
              <w:rPr>
                <w:rFonts w:hint="default"/>
                <w:lang w:val="en-US" w:eastAsia="zh-CN"/>
              </w:rPr>
              <w:t>x+2</w:t>
            </w:r>
            <w:r>
              <w:rPr>
                <w:rFonts w:hint="eastAsia"/>
                <w:lang w:val="en-US" w:eastAsia="zh-CN"/>
              </w:rPr>
              <w:t>04.675</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根据以上容积率地价函数关系，测算各容积率下地价与平均容积率下的地价比值作为修正系数，则</w:t>
      </w:r>
      <w:r>
        <w:rPr>
          <w:rFonts w:hint="eastAsia"/>
          <w:sz w:val="18"/>
          <w:lang w:val="en-US" w:eastAsia="zh-CN"/>
        </w:rPr>
        <w:t>居住用地</w:t>
      </w:r>
      <w:r>
        <w:rPr>
          <w:rFonts w:hint="default"/>
          <w:sz w:val="18"/>
          <w:lang w:val="en-US" w:eastAsia="zh-CN"/>
        </w:rPr>
        <w:t>部分容积率修正系数见表</w:t>
      </w:r>
      <w:r>
        <w:rPr>
          <w:rFonts w:hint="eastAsia"/>
          <w:sz w:val="18"/>
          <w:highlight w:val="none"/>
          <w:lang w:val="en-US" w:eastAsia="zh-CN"/>
        </w:rPr>
        <w:t>4-3-12</w:t>
      </w:r>
      <w:r>
        <w:rPr>
          <w:rFonts w:hint="default"/>
          <w:sz w:val="18"/>
          <w:lang w:val="en-US" w:eastAsia="zh-CN"/>
        </w:rPr>
        <w:t>。如容积率不为整数可利用内插法求取修正系数；如容积率不在表</w:t>
      </w:r>
      <w:r>
        <w:rPr>
          <w:rFonts w:hint="eastAsia"/>
          <w:sz w:val="18"/>
          <w:lang w:val="en-US" w:eastAsia="zh-CN"/>
        </w:rPr>
        <w:t>4-3-12</w:t>
      </w:r>
      <w:r>
        <w:rPr>
          <w:rFonts w:hint="default"/>
          <w:sz w:val="18"/>
          <w:lang w:val="en-US" w:eastAsia="zh-CN"/>
        </w:rPr>
        <w:t>范围内，则可先根据表</w:t>
      </w:r>
      <w:r>
        <w:rPr>
          <w:rFonts w:hint="eastAsia"/>
          <w:sz w:val="18"/>
          <w:lang w:val="en-US" w:eastAsia="zh-CN"/>
        </w:rPr>
        <w:t>4-3-11</w:t>
      </w:r>
      <w:r>
        <w:rPr>
          <w:rFonts w:hint="default"/>
          <w:sz w:val="18"/>
          <w:lang w:val="en-US" w:eastAsia="zh-CN"/>
        </w:rPr>
        <w:t>中的相应公式求取容积率下的地价水平，再与平均容积率下地价水平相比，得出修正系数。</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按照自然资源和规划部门给定的宗地地上容积率（R）结合相应的《容积率修正系数表》确定容积率修正系数。当R1&lt;R&lt;R2（R1、R2为上述修正系数表所列的容积率）时，用下列</w:t>
      </w:r>
      <w:r>
        <w:rPr>
          <w:rFonts w:hint="eastAsia"/>
          <w:sz w:val="18"/>
          <w:lang w:val="en-US" w:eastAsia="zh-CN"/>
        </w:rPr>
        <w:t>公式</w:t>
      </w:r>
      <w:r>
        <w:rPr>
          <w:rFonts w:hint="default"/>
          <w:sz w:val="18"/>
          <w:lang w:val="en-US" w:eastAsia="zh-CN"/>
        </w:rPr>
        <w:t>计算容积率修正系数X=X1+(X2-X1)*(R-R1)/(R2-R1)</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X1是R1对应的容积率修正系数；X2是R2对应的容积率修正系数。</w:t>
      </w:r>
    </w:p>
    <w:p>
      <w:pPr>
        <w:pStyle w:val="27"/>
        <w:bidi w:val="0"/>
        <w:rPr>
          <w:rFonts w:hint="default"/>
          <w:lang w:val="en-US" w:eastAsia="zh-CN"/>
        </w:rPr>
      </w:pPr>
      <w:r>
        <w:rPr>
          <w:rFonts w:hint="default"/>
          <w:lang w:val="en-US" w:eastAsia="zh-CN"/>
        </w:rPr>
        <w:t>表</w:t>
      </w:r>
      <w:r>
        <w:rPr>
          <w:rFonts w:hint="eastAsia"/>
          <w:lang w:val="en-US" w:eastAsia="zh-CN"/>
        </w:rPr>
        <w:t>2-31</w:t>
      </w:r>
      <w:r>
        <w:rPr>
          <w:rFonts w:hint="default"/>
          <w:lang w:val="en-US" w:eastAsia="zh-CN"/>
        </w:rPr>
        <w:t xml:space="preserve"> </w:t>
      </w:r>
      <w:r>
        <w:rPr>
          <w:rFonts w:hint="eastAsia"/>
          <w:lang w:val="en-US" w:eastAsia="zh-CN"/>
        </w:rPr>
        <w:t>居住用地</w:t>
      </w:r>
      <w:r>
        <w:rPr>
          <w:rFonts w:hint="default"/>
          <w:lang w:val="en-US" w:eastAsia="zh-CN"/>
        </w:rPr>
        <w:t>容积率修正系数表</w:t>
      </w:r>
    </w:p>
    <w:tbl>
      <w:tblPr>
        <w:tblStyle w:val="21"/>
        <w:tblW w:w="0" w:type="auto"/>
        <w:tblInd w:w="103" w:type="dxa"/>
        <w:tblLayout w:type="fixed"/>
        <w:tblCellMar>
          <w:top w:w="0" w:type="dxa"/>
          <w:left w:w="108" w:type="dxa"/>
          <w:bottom w:w="0" w:type="dxa"/>
          <w:right w:w="108" w:type="dxa"/>
        </w:tblCellMar>
      </w:tblPr>
      <w:tblGrid>
        <w:gridCol w:w="1421"/>
        <w:gridCol w:w="1421"/>
        <w:gridCol w:w="1420"/>
        <w:gridCol w:w="1420"/>
        <w:gridCol w:w="1420"/>
        <w:gridCol w:w="1420"/>
      </w:tblGrid>
      <w:tr>
        <w:tblPrEx>
          <w:tblCellMar>
            <w:top w:w="0" w:type="dxa"/>
            <w:left w:w="108" w:type="dxa"/>
            <w:bottom w:w="0" w:type="dxa"/>
            <w:right w:w="108" w:type="dxa"/>
          </w:tblCellMar>
        </w:tblPrEx>
        <w:trPr>
          <w:trHeight w:val="312" w:hRule="atLeast"/>
          <w:tblHeader/>
        </w:trPr>
        <w:tc>
          <w:tcPr>
            <w:tcW w:w="1421" w:type="dxa"/>
            <w:vMerge w:val="restart"/>
            <w:tcBorders>
              <w:top w:val="single" w:color="auto" w:sz="4" w:space="0"/>
              <w:left w:val="single" w:color="auto" w:sz="4" w:space="0"/>
              <w:bottom w:val="single" w:color="auto" w:sz="4" w:space="0"/>
              <w:right w:val="single" w:color="auto" w:sz="4" w:space="0"/>
              <w:tl2br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 xml:space="preserve">         </w:t>
            </w:r>
            <w:r>
              <w:rPr>
                <w:rFonts w:hint="default"/>
                <w:b/>
                <w:bCs/>
                <w:sz w:val="18"/>
                <w:szCs w:val="18"/>
                <w:lang w:val="en-US" w:eastAsia="zh-CN"/>
              </w:rPr>
              <w:t>级别      容积率</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III</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IV</w:t>
            </w:r>
            <w:r>
              <w:rPr>
                <w:rFonts w:hint="default"/>
                <w:b/>
                <w:bCs/>
                <w:sz w:val="18"/>
                <w:szCs w:val="18"/>
                <w:lang w:val="en-US" w:eastAsia="zh-CN"/>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b/>
                <w:bCs/>
                <w:sz w:val="18"/>
                <w:szCs w:val="18"/>
                <w:lang w:val="en-US" w:eastAsia="zh-CN"/>
              </w:rPr>
            </w:pPr>
            <w:r>
              <w:rPr>
                <w:rFonts w:hint="eastAsia"/>
                <w:b/>
                <w:bCs/>
                <w:sz w:val="18"/>
                <w:szCs w:val="18"/>
                <w:lang w:val="en-US" w:eastAsia="zh-CN"/>
              </w:rPr>
              <w:t>V</w:t>
            </w:r>
            <w:r>
              <w:rPr>
                <w:rFonts w:hint="default"/>
                <w:b/>
                <w:bCs/>
                <w:sz w:val="18"/>
                <w:szCs w:val="18"/>
                <w:lang w:val="en-US" w:eastAsia="zh-CN"/>
              </w:rPr>
              <w:t>级</w:t>
            </w:r>
          </w:p>
        </w:tc>
      </w:tr>
      <w:tr>
        <w:tblPrEx>
          <w:tblCellMar>
            <w:top w:w="0" w:type="dxa"/>
            <w:left w:w="108" w:type="dxa"/>
            <w:bottom w:w="0" w:type="dxa"/>
            <w:right w:w="108" w:type="dxa"/>
          </w:tblCellMar>
        </w:tblPrEx>
        <w:trPr>
          <w:trHeight w:val="312" w:hRule="atLeast"/>
          <w:tblHeader/>
        </w:trPr>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w:t>
            </w:r>
            <w:r>
              <w:rPr>
                <w:rFonts w:hint="eastAsia"/>
                <w:sz w:val="18"/>
                <w:szCs w:val="18"/>
                <w:lang w:val="en-US" w:eastAsia="zh-CN"/>
              </w:rPr>
              <w:t>.0</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0.5901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0.6007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0.6311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0.6651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0.6752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0.6311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0.6407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0.6681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0.6986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0.7077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0.6722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0.6806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0.7050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0.7321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0.7402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sz w:val="18"/>
                <w:szCs w:val="18"/>
                <w:lang w:val="en-US" w:eastAsia="zh-CN"/>
              </w:rPr>
            </w:pPr>
            <w:r>
              <w:rPr>
                <w:rFonts w:hint="default"/>
                <w:sz w:val="18"/>
                <w:szCs w:val="18"/>
                <w:lang w:val="en-US" w:eastAsia="zh-CN"/>
              </w:rPr>
              <w:t>1.3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0.7131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0.7206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0.7419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0.7656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0.7728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0.7541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0.7605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0.7788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0.7991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0.8053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0.7951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0.8004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0.8157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0.8326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0.8377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0.8361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0.8404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0.8525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0.8661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0.8702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0.8771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0.8803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0.8894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0.8996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0.9027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0.9181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0.9202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0.9263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0.9331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0.9351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0.9590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0.9601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0.9631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0.9665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0.9676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w:t>
            </w:r>
            <w:r>
              <w:rPr>
                <w:rFonts w:hint="eastAsia" w:ascii="Times New Roman" w:hAnsi="Times New Roman" w:cs="Times New Roman"/>
                <w:sz w:val="18"/>
                <w:szCs w:val="18"/>
                <w:lang w:val="en-US" w:eastAsia="zh-CN"/>
              </w:rPr>
              <w:t>.0</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1.0000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1.0410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1.0399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1.0368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1.0335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1.0324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1.0819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1.0798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1.0737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1.0669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1.0648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1.1229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1.1197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1.1105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1.1004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1.0972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1.1638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1.1595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1.1473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1.1338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1.1296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1.2047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1.1994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1.1841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1.1672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1.1619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1.2457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1.2393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1.2209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1.2007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1.1943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1.2866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1.2791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1.2577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1.2341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1.2266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1.3275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1.3190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1.2945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1.2675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1.2589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1.3685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1.3588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1.3313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1.3010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1.2913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1.3987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1.3681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1.3344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1.3236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1.4180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1.3870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1.3693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1.3482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1.4912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1.4103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1.3869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1.5056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1.3939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1.4554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1.4294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1.5101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1.3973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1.4595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1.4332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1.5146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1.4332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1.4008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1.4636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1.4371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1.5191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1.4370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1.4042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1.4677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1.4409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1.5237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1.4408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1.4077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1.4718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1.4448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1.4446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1.4111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1.4759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1.4487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1.5327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1.4484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1.4145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1.4525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w:t>
            </w:r>
            <w:r>
              <w:rPr>
                <w:rFonts w:hint="eastAsia" w:ascii="Times New Roman" w:hAnsi="Times New Roman" w:cs="Times New Roman"/>
                <w:sz w:val="18"/>
                <w:szCs w:val="18"/>
                <w:lang w:val="en-US" w:eastAsia="zh-CN"/>
              </w:rPr>
              <w:t>.0</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1.5372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1.4522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1.4180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1.4841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1.4564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1.5417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1.4560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1.4214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1.4882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1.4603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1.5463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1.4598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1.4248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1.4923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1.4641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1.5508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1.4636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1.4283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1.4964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1.468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1.5553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1.4317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1.5004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1.4719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1.5598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1.4713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1.4351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1.5045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1.4757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1.5643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1.4751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1.4386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1.5086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1.4796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1.5688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1.4789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1.4420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1.5127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1.4834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1.5733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1.4827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1.5168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1.4873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1.5779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1.4865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1.4489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1.5209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1.4912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w:t>
            </w:r>
            <w:r>
              <w:rPr>
                <w:rFonts w:hint="eastAsia" w:ascii="Times New Roman" w:hAnsi="Times New Roman" w:cs="Times New Roman"/>
                <w:sz w:val="18"/>
                <w:szCs w:val="18"/>
                <w:lang w:val="en-US" w:eastAsia="zh-CN"/>
              </w:rPr>
              <w:t>.0</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1.5824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1.4903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1.4523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1.525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1.495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5.1</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1.5869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1.4942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1.4557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1.5291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1.4989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5.2</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1.5914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1.4980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1.4592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1.5332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1.5028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5.3</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1.5959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1.5018</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1.4626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1.5373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1.5066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5.4</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1.6004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1.5056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1.4660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1.5414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1.5105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5.5</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1.6049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1.5094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1.4694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1.5455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1.5143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5.6</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1.6094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1.5132</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1.4729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1.5496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1.5182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5.7</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1.6139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1.5171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1.4763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1.5537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1.5221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5.8</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1.6184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1.5209</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1.4797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1.3693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1.3482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5.9</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1.6230</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1.5247</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1.4831</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1.4103</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1.3869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6</w:t>
            </w:r>
            <w:r>
              <w:rPr>
                <w:rFonts w:hint="eastAsia" w:ascii="Times New Roman" w:hAnsi="Times New Roman" w:cs="Times New Roman"/>
                <w:sz w:val="18"/>
                <w:szCs w:val="18"/>
                <w:lang w:val="en-US" w:eastAsia="zh-CN"/>
              </w:rPr>
              <w:t>.0</w:t>
            </w:r>
          </w:p>
        </w:tc>
        <w:tc>
          <w:tcPr>
            <w:tcW w:w="1421"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1.6275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1.5285</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1.4866</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1.4554</w:t>
            </w:r>
          </w:p>
        </w:tc>
        <w:tc>
          <w:tcPr>
            <w:tcW w:w="1420" w:type="dxa"/>
            <w:tcBorders>
              <w:top w:val="single" w:color="auto" w:sz="4" w:space="0"/>
              <w:left w:val="nil"/>
              <w:bottom w:val="single" w:color="auto" w:sz="4" w:space="0"/>
              <w:right w:val="single" w:color="auto" w:sz="4" w:space="0"/>
            </w:tcBorders>
            <w:noWrap w:val="0"/>
            <w:vAlign w:val="center"/>
          </w:tcPr>
          <w:p>
            <w:pPr>
              <w:pStyle w:val="26"/>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1.4294</w:t>
            </w:r>
          </w:p>
        </w:tc>
      </w:tr>
    </w:tbl>
    <w:p>
      <w:pPr>
        <w:pStyle w:val="6"/>
        <w:bidi w:val="0"/>
        <w:rPr>
          <w:rFonts w:hint="default"/>
          <w:lang w:val="en-US" w:eastAsia="zh-CN"/>
        </w:rPr>
      </w:pPr>
      <w:bookmarkStart w:id="21" w:name="_Toc280274337"/>
      <w:r>
        <w:rPr>
          <w:rFonts w:hint="default"/>
          <w:lang w:val="en-US" w:eastAsia="zh-CN"/>
        </w:rPr>
        <w:t>（</w:t>
      </w:r>
      <w:r>
        <w:rPr>
          <w:rFonts w:hint="eastAsia"/>
          <w:lang w:val="en-US" w:eastAsia="zh-CN"/>
        </w:rPr>
        <w:t>2</w:t>
      </w:r>
      <w:r>
        <w:rPr>
          <w:rFonts w:hint="default"/>
          <w:lang w:val="en-US" w:eastAsia="zh-CN"/>
        </w:rPr>
        <w:t>）使用年期修正系数</w:t>
      </w:r>
      <w:bookmarkEnd w:id="21"/>
    </w:p>
    <w:p>
      <w:pPr>
        <w:pStyle w:val="27"/>
        <w:bidi w:val="0"/>
        <w:rPr>
          <w:rFonts w:hint="eastAsia"/>
          <w:lang w:val="en-US" w:eastAsia="zh-CN"/>
        </w:rPr>
      </w:pPr>
      <w:r>
        <w:rPr>
          <w:rFonts w:hint="default"/>
          <w:lang w:val="en-US" w:eastAsia="zh-CN"/>
        </w:rPr>
        <w:t>表</w:t>
      </w:r>
      <w:r>
        <w:rPr>
          <w:rFonts w:hint="eastAsia"/>
          <w:lang w:val="en-US" w:eastAsia="zh-CN"/>
        </w:rPr>
        <w:t>2-32</w:t>
      </w:r>
      <w:r>
        <w:rPr>
          <w:rFonts w:hint="default"/>
          <w:lang w:val="en-US" w:eastAsia="zh-CN"/>
        </w:rPr>
        <w:t xml:space="preserve"> </w:t>
      </w:r>
      <w:r>
        <w:rPr>
          <w:rFonts w:hint="eastAsia"/>
          <w:lang w:val="en-US" w:eastAsia="zh-CN"/>
        </w:rPr>
        <w:t>居住用地</w:t>
      </w:r>
      <w:r>
        <w:rPr>
          <w:rFonts w:hint="default"/>
          <w:lang w:val="en-US" w:eastAsia="zh-CN"/>
        </w:rPr>
        <w:t>使用年期修正系数表</w:t>
      </w:r>
      <w:r>
        <w:rPr>
          <w:rFonts w:hint="eastAsia"/>
          <w:lang w:val="en-US" w:eastAsia="zh-CN"/>
        </w:rPr>
        <w:t>（还原率=4.63%）</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753"/>
        <w:gridCol w:w="753"/>
        <w:gridCol w:w="753"/>
        <w:gridCol w:w="753"/>
        <w:gridCol w:w="753"/>
        <w:gridCol w:w="754"/>
        <w:gridCol w:w="753"/>
        <w:gridCol w:w="753"/>
        <w:gridCol w:w="753"/>
        <w:gridCol w:w="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0.0462</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0.0903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0.1325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0.1729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0.2114</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0.2483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0.2835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0.3171</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0.3493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19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0.4094</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0.4375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0.4643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0.49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0.5145</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0.5379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0.5603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0.5817</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0.6022</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0.6217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29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0.6404</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0.6582</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0.6753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0.6916</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0.7072</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0.7221</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0.7364</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0.763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0.7754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39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0.7873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0.7986</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0.8095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0.8199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0.8298</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0.8393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0.8483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0.857</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0.8652</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0.8732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49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0.8807</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0.8879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0.8948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0.9014</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0.9077</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0.9138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0.9195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0.925</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0.9303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59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0.9401</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0.9447</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0.9491</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0.9533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0.9573</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0.9611</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0.9648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0.9683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0.9717</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0.9749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61</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62</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63</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64</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65</w:t>
            </w:r>
          </w:p>
        </w:tc>
        <w:tc>
          <w:tcPr>
            <w:tcW w:w="75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66</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67</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68</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69</w:t>
            </w:r>
          </w:p>
        </w:tc>
        <w:tc>
          <w:tcPr>
            <w:tcW w:w="75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9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0.9779</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0.9808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0.9836</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0.9863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0.9888</w:t>
            </w:r>
          </w:p>
        </w:tc>
        <w:tc>
          <w:tcPr>
            <w:tcW w:w="75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0.9913</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0.9936</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0.9958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0.998</w:t>
            </w:r>
          </w:p>
        </w:tc>
        <w:tc>
          <w:tcPr>
            <w:tcW w:w="75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val="0"/>
                <w:bCs w:val="0"/>
                <w:i w:val="0"/>
                <w:iCs w:val="0"/>
                <w:color w:val="000000"/>
                <w:kern w:val="0"/>
                <w:sz w:val="18"/>
                <w:szCs w:val="18"/>
                <w:u w:val="none"/>
                <w:lang w:val="en-US" w:eastAsia="zh-CN" w:bidi="ar"/>
              </w:rPr>
            </w:pPr>
            <w:r>
              <w:rPr>
                <w:rFonts w:hint="default" w:ascii="Times New Roman" w:hAnsi="Times New Roman" w:eastAsia="仿宋_GB2312" w:cs="仿宋"/>
                <w:b w:val="0"/>
                <w:bCs w:val="0"/>
                <w:i w:val="0"/>
                <w:iCs w:val="0"/>
                <w:color w:val="000000"/>
                <w:kern w:val="0"/>
                <w:sz w:val="18"/>
                <w:szCs w:val="18"/>
                <w:u w:val="none"/>
                <w:lang w:val="en-US" w:eastAsia="zh-CN" w:bidi="ar"/>
              </w:rPr>
              <w:t>1</w:t>
            </w:r>
            <w:r>
              <w:rPr>
                <w:rFonts w:hint="eastAsia" w:cs="仿宋"/>
                <w:b w:val="0"/>
                <w:bCs w:val="0"/>
                <w:i w:val="0"/>
                <w:iCs w:val="0"/>
                <w:color w:val="000000"/>
                <w:kern w:val="0"/>
                <w:sz w:val="18"/>
                <w:szCs w:val="18"/>
                <w:u w:val="none"/>
                <w:lang w:val="en-US" w:eastAsia="zh-CN" w:bidi="ar"/>
              </w:rPr>
              <w:t>.0000</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注：使用年期为剩余使用年期，其值为非整数时按照要求折算成年。</w:t>
      </w:r>
    </w:p>
    <w:p>
      <w:pPr>
        <w:pStyle w:val="6"/>
        <w:bidi w:val="0"/>
        <w:rPr>
          <w:rFonts w:hint="default"/>
          <w:lang w:val="en-US" w:eastAsia="zh-CN"/>
        </w:rPr>
      </w:pPr>
      <w:r>
        <w:rPr>
          <w:rFonts w:hint="default"/>
          <w:lang w:val="en-US" w:eastAsia="zh-CN"/>
        </w:rPr>
        <w:t>（</w:t>
      </w:r>
      <w:r>
        <w:rPr>
          <w:rFonts w:hint="eastAsia"/>
          <w:lang w:val="en-US" w:eastAsia="zh-CN"/>
        </w:rPr>
        <w:t>3</w:t>
      </w:r>
      <w:r>
        <w:rPr>
          <w:rFonts w:hint="default"/>
          <w:lang w:val="en-US" w:eastAsia="zh-CN"/>
        </w:rPr>
        <w:t>）交易期日修正系数</w:t>
      </w:r>
    </w:p>
    <w:p>
      <w:pPr>
        <w:bidi w:val="0"/>
        <w:rPr>
          <w:rFonts w:hint="default"/>
          <w:lang w:val="en-US" w:eastAsia="zh-CN"/>
        </w:rPr>
      </w:pPr>
      <w:r>
        <w:rPr>
          <w:rFonts w:hint="default"/>
          <w:lang w:val="en-US" w:eastAsia="zh-CN"/>
        </w:rPr>
        <w:t>交易日期修正系数根据20</w:t>
      </w:r>
      <w:r>
        <w:rPr>
          <w:rFonts w:hint="eastAsia"/>
          <w:lang w:val="en-US" w:eastAsia="zh-CN"/>
        </w:rPr>
        <w:t>18</w:t>
      </w:r>
      <w:r>
        <w:rPr>
          <w:rFonts w:hint="default"/>
          <w:lang w:val="en-US" w:eastAsia="zh-CN"/>
        </w:rPr>
        <w:t>年到基准日20</w:t>
      </w:r>
      <w:r>
        <w:rPr>
          <w:rFonts w:hint="eastAsia"/>
          <w:lang w:val="en-US" w:eastAsia="zh-CN"/>
        </w:rPr>
        <w:t>23</w:t>
      </w:r>
      <w:r>
        <w:rPr>
          <w:rFonts w:hint="default"/>
          <w:lang w:val="en-US" w:eastAsia="zh-CN"/>
        </w:rPr>
        <w:t>年随州市地价动态监测结果来确定修正系数。</w:t>
      </w:r>
    </w:p>
    <w:p>
      <w:pPr>
        <w:pStyle w:val="27"/>
        <w:bidi w:val="0"/>
        <w:rPr>
          <w:rFonts w:hint="default"/>
          <w:lang w:val="en-US" w:eastAsia="zh-CN"/>
        </w:rPr>
      </w:pPr>
      <w:r>
        <w:rPr>
          <w:rFonts w:hint="default"/>
          <w:lang w:val="en-US" w:eastAsia="zh-CN"/>
        </w:rPr>
        <w:t>表</w:t>
      </w:r>
      <w:r>
        <w:rPr>
          <w:rFonts w:hint="eastAsia"/>
          <w:lang w:val="en-US" w:eastAsia="zh-CN"/>
        </w:rPr>
        <w:t>2-33</w:t>
      </w:r>
      <w:r>
        <w:rPr>
          <w:rFonts w:hint="default"/>
          <w:lang w:val="en-US" w:eastAsia="zh-CN"/>
        </w:rPr>
        <w:t xml:space="preserve"> </w:t>
      </w:r>
      <w:r>
        <w:rPr>
          <w:rFonts w:hint="eastAsia"/>
          <w:lang w:val="en-US" w:eastAsia="zh-CN"/>
        </w:rPr>
        <w:t>居住用地</w:t>
      </w:r>
      <w:r>
        <w:rPr>
          <w:rFonts w:hint="default"/>
          <w:lang w:val="en-US" w:eastAsia="zh-CN"/>
        </w:rPr>
        <w:t>交易期日修正系数表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90"/>
        <w:gridCol w:w="1191"/>
        <w:gridCol w:w="1192"/>
        <w:gridCol w:w="1192"/>
        <w:gridCol w:w="1191"/>
        <w:gridCol w:w="1190"/>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3" w:hRule="atLeast"/>
        </w:trPr>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年份</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2018.06.30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2019.06.30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2020.06.30</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2021.06.30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2022.06.30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2023.06.30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7" w:hRule="atLeast"/>
        </w:trPr>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修正系数</w:t>
            </w:r>
          </w:p>
        </w:tc>
        <w:tc>
          <w:tcPr>
            <w:tcW w:w="11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0.89</w:t>
            </w:r>
            <w:r>
              <w:rPr>
                <w:rFonts w:hint="eastAsia" w:ascii="Times New Roman" w:hAnsi="Times New Roman" w:eastAsia="仿宋_GB2312" w:cs="Times New Roman"/>
                <w:b w:val="0"/>
                <w:bCs w:val="0"/>
                <w:i w:val="0"/>
                <w:iCs w:val="0"/>
                <w:color w:val="000000"/>
                <w:kern w:val="0"/>
                <w:sz w:val="21"/>
                <w:szCs w:val="21"/>
                <w:u w:val="none"/>
                <w:lang w:val="en-US" w:eastAsia="zh-CN" w:bidi="ar"/>
              </w:rPr>
              <w:t>72</w:t>
            </w:r>
          </w:p>
        </w:tc>
        <w:tc>
          <w:tcPr>
            <w:tcW w:w="11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0.93</w:t>
            </w:r>
            <w:r>
              <w:rPr>
                <w:rFonts w:hint="eastAsia" w:ascii="Times New Roman" w:hAnsi="Times New Roman" w:eastAsia="仿宋_GB2312" w:cs="Times New Roman"/>
                <w:b w:val="0"/>
                <w:bCs w:val="0"/>
                <w:i w:val="0"/>
                <w:iCs w:val="0"/>
                <w:color w:val="000000"/>
                <w:kern w:val="0"/>
                <w:sz w:val="21"/>
                <w:szCs w:val="21"/>
                <w:u w:val="none"/>
                <w:lang w:val="en-US" w:eastAsia="zh-CN" w:bidi="ar"/>
              </w:rPr>
              <w:t>58</w:t>
            </w:r>
          </w:p>
        </w:tc>
        <w:tc>
          <w:tcPr>
            <w:tcW w:w="11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r>
              <w:rPr>
                <w:rFonts w:hint="eastAsia" w:ascii="Times New Roman" w:hAnsi="Times New Roman" w:eastAsia="仿宋_GB2312" w:cs="Times New Roman"/>
                <w:b w:val="0"/>
                <w:bCs w:val="0"/>
                <w:i w:val="0"/>
                <w:iCs w:val="0"/>
                <w:color w:val="000000"/>
                <w:kern w:val="0"/>
                <w:sz w:val="21"/>
                <w:szCs w:val="21"/>
                <w:u w:val="none"/>
                <w:lang w:val="en-US" w:eastAsia="zh-CN" w:bidi="ar"/>
              </w:rPr>
              <w:t>21</w:t>
            </w:r>
          </w:p>
        </w:tc>
        <w:tc>
          <w:tcPr>
            <w:tcW w:w="119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w:t>
            </w:r>
            <w:r>
              <w:rPr>
                <w:rFonts w:hint="eastAsia" w:ascii="Times New Roman" w:hAnsi="Times New Roman" w:eastAsia="仿宋_GB2312" w:cs="Times New Roman"/>
                <w:b w:val="0"/>
                <w:bCs w:val="0"/>
                <w:i w:val="0"/>
                <w:iCs w:val="0"/>
                <w:color w:val="000000"/>
                <w:kern w:val="0"/>
                <w:sz w:val="21"/>
                <w:szCs w:val="21"/>
                <w:u w:val="none"/>
                <w:lang w:val="en-US" w:eastAsia="zh-CN" w:bidi="ar"/>
              </w:rPr>
              <w:t>37</w:t>
            </w:r>
          </w:p>
        </w:tc>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w:t>
            </w:r>
            <w:r>
              <w:rPr>
                <w:rFonts w:hint="eastAsia" w:ascii="Times New Roman" w:hAnsi="Times New Roman" w:eastAsia="仿宋_GB2312" w:cs="Times New Roman"/>
                <w:b w:val="0"/>
                <w:bCs w:val="0"/>
                <w:i w:val="0"/>
                <w:iCs w:val="0"/>
                <w:color w:val="000000"/>
                <w:kern w:val="0"/>
                <w:sz w:val="21"/>
                <w:szCs w:val="21"/>
                <w:u w:val="none"/>
                <w:lang w:val="en-US" w:eastAsia="zh-CN" w:bidi="ar"/>
              </w:rPr>
              <w:t>42</w:t>
            </w:r>
          </w:p>
        </w:tc>
        <w:tc>
          <w:tcPr>
            <w:tcW w:w="119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r>
              <w:rPr>
                <w:rFonts w:hint="eastAsia" w:ascii="Times New Roman" w:hAnsi="Times New Roman" w:eastAsia="仿宋_GB2312" w:cs="Times New Roman"/>
                <w:b w:val="0"/>
                <w:bCs w:val="0"/>
                <w:i w:val="0"/>
                <w:iCs w:val="0"/>
                <w:color w:val="000000"/>
                <w:kern w:val="0"/>
                <w:sz w:val="21"/>
                <w:szCs w:val="21"/>
                <w:u w:val="none"/>
                <w:lang w:val="en-US" w:eastAsia="zh-CN" w:bidi="ar"/>
              </w:rPr>
              <w:t>.0000</w:t>
            </w:r>
          </w:p>
        </w:tc>
      </w:tr>
    </w:tbl>
    <w:p>
      <w:pPr>
        <w:pStyle w:val="6"/>
        <w:bidi w:val="0"/>
        <w:rPr>
          <w:rFonts w:hint="default"/>
          <w:lang w:val="en-US" w:eastAsia="zh-CN"/>
        </w:rPr>
      </w:pPr>
      <w:bookmarkStart w:id="22" w:name="_Toc280274339"/>
      <w:r>
        <w:rPr>
          <w:rFonts w:hint="default"/>
          <w:lang w:val="en-US" w:eastAsia="zh-CN"/>
        </w:rPr>
        <w:t>（</w:t>
      </w:r>
      <w:r>
        <w:rPr>
          <w:rFonts w:hint="eastAsia"/>
          <w:lang w:val="en-US" w:eastAsia="zh-CN"/>
        </w:rPr>
        <w:t>4</w:t>
      </w:r>
      <w:r>
        <w:rPr>
          <w:rFonts w:hint="default"/>
          <w:lang w:val="en-US" w:eastAsia="zh-CN"/>
        </w:rPr>
        <w:t>）宗地面积修正</w:t>
      </w:r>
      <w:bookmarkEnd w:id="22"/>
      <w:r>
        <w:rPr>
          <w:rFonts w:hint="default"/>
          <w:lang w:val="en-US" w:eastAsia="zh-CN"/>
        </w:rPr>
        <w:t>系数</w:t>
      </w:r>
    </w:p>
    <w:p>
      <w:pPr>
        <w:pStyle w:val="27"/>
        <w:bidi w:val="0"/>
        <w:rPr>
          <w:rFonts w:hint="default"/>
          <w:lang w:val="en-US" w:eastAsia="zh-CN"/>
        </w:rPr>
      </w:pPr>
      <w:r>
        <w:rPr>
          <w:rFonts w:hint="default"/>
          <w:lang w:val="en-US" w:eastAsia="zh-CN"/>
        </w:rPr>
        <w:t>表</w:t>
      </w:r>
      <w:r>
        <w:rPr>
          <w:rFonts w:hint="eastAsia"/>
          <w:lang w:val="en-US" w:eastAsia="zh-CN"/>
        </w:rPr>
        <w:t>2-34</w:t>
      </w:r>
      <w:r>
        <w:rPr>
          <w:rFonts w:hint="default"/>
          <w:lang w:val="en-US" w:eastAsia="zh-CN"/>
        </w:rPr>
        <w:t xml:space="preserve"> </w:t>
      </w:r>
      <w:r>
        <w:rPr>
          <w:rFonts w:hint="eastAsia"/>
          <w:lang w:val="en-US" w:eastAsia="zh-CN"/>
        </w:rPr>
        <w:t>居住用地</w:t>
      </w:r>
      <w:r>
        <w:rPr>
          <w:rFonts w:hint="default"/>
          <w:lang w:val="en-US" w:eastAsia="zh-CN"/>
        </w:rPr>
        <w:t>宗地面积修正说明表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530"/>
        <w:gridCol w:w="1286"/>
        <w:gridCol w:w="1343"/>
        <w:gridCol w:w="1492"/>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3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28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4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4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0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说明</w:t>
            </w:r>
          </w:p>
        </w:tc>
        <w:tc>
          <w:tcPr>
            <w:tcW w:w="15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面积适中，对土地利用极为有利</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面积对土地利用较为有利</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面积对土地利用无不良影响</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面积较小，对土地利用有一定影响</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面积过小，对土地利用产生严重的影响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3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bookmarkStart w:id="23" w:name="_Toc280274340"/>
      <w:r>
        <w:rPr>
          <w:rFonts w:hint="default"/>
          <w:lang w:val="en-US" w:eastAsia="zh-CN"/>
        </w:rPr>
        <w:t>（</w:t>
      </w:r>
      <w:r>
        <w:rPr>
          <w:rFonts w:hint="eastAsia"/>
          <w:lang w:val="en-US" w:eastAsia="zh-CN"/>
        </w:rPr>
        <w:t>5</w:t>
      </w:r>
      <w:r>
        <w:rPr>
          <w:rFonts w:hint="default"/>
          <w:lang w:val="en-US" w:eastAsia="zh-CN"/>
        </w:rPr>
        <w:t>）宗地形状</w:t>
      </w:r>
      <w:bookmarkEnd w:id="23"/>
      <w:r>
        <w:rPr>
          <w:rFonts w:hint="default"/>
          <w:lang w:val="en-US" w:eastAsia="zh-CN"/>
        </w:rPr>
        <w:t>修正系数</w:t>
      </w:r>
    </w:p>
    <w:p>
      <w:pPr>
        <w:pStyle w:val="27"/>
        <w:bidi w:val="0"/>
        <w:rPr>
          <w:rFonts w:hint="default"/>
          <w:lang w:val="en-US" w:eastAsia="zh-CN"/>
        </w:rPr>
      </w:pPr>
      <w:r>
        <w:rPr>
          <w:rFonts w:hint="default"/>
          <w:lang w:val="en-US" w:eastAsia="zh-CN"/>
        </w:rPr>
        <w:t>表</w:t>
      </w:r>
      <w:r>
        <w:rPr>
          <w:rFonts w:hint="eastAsia"/>
          <w:lang w:val="en-US" w:eastAsia="zh-CN"/>
        </w:rPr>
        <w:t>2-35</w:t>
      </w:r>
      <w:r>
        <w:rPr>
          <w:rFonts w:hint="default"/>
          <w:lang w:val="en-US" w:eastAsia="zh-CN"/>
        </w:rPr>
        <w:t xml:space="preserve"> </w:t>
      </w:r>
      <w:r>
        <w:rPr>
          <w:rFonts w:hint="eastAsia"/>
          <w:lang w:val="en-US" w:eastAsia="zh-CN"/>
        </w:rPr>
        <w:t>居住用地</w:t>
      </w:r>
      <w:r>
        <w:rPr>
          <w:rFonts w:hint="default"/>
          <w:lang w:val="en-US" w:eastAsia="zh-CN"/>
        </w:rPr>
        <w:t>宗地形状修正系数表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1380"/>
        <w:gridCol w:w="1363"/>
        <w:gridCol w:w="1278"/>
        <w:gridCol w:w="1501"/>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0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38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6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27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0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65"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00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3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形状规则，对土地利用有利</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土地利用较为有利</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土地利用无不良影响</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形状不规则，对土地利用不利</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00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3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bookmarkStart w:id="24" w:name="_Toc280274341"/>
      <w:r>
        <w:rPr>
          <w:rFonts w:hint="default"/>
          <w:lang w:val="en-US" w:eastAsia="zh-CN"/>
        </w:rPr>
        <w:t>（</w:t>
      </w:r>
      <w:r>
        <w:rPr>
          <w:rFonts w:hint="eastAsia"/>
          <w:lang w:val="en-US" w:eastAsia="zh-CN"/>
        </w:rPr>
        <w:t>6</w:t>
      </w:r>
      <w:r>
        <w:rPr>
          <w:rFonts w:hint="default"/>
          <w:lang w:val="en-US" w:eastAsia="zh-CN"/>
        </w:rPr>
        <w:t>）建筑物朝向修正</w:t>
      </w:r>
      <w:bookmarkEnd w:id="24"/>
      <w:r>
        <w:rPr>
          <w:rFonts w:hint="default"/>
          <w:lang w:val="en-US" w:eastAsia="zh-CN"/>
        </w:rPr>
        <w:t>系数</w:t>
      </w:r>
    </w:p>
    <w:p>
      <w:pPr>
        <w:pStyle w:val="27"/>
        <w:bidi w:val="0"/>
        <w:rPr>
          <w:rFonts w:hint="default"/>
          <w:lang w:val="en-US" w:eastAsia="zh-CN"/>
        </w:rPr>
      </w:pPr>
      <w:r>
        <w:rPr>
          <w:rFonts w:hint="default"/>
          <w:lang w:val="en-US" w:eastAsia="zh-CN"/>
        </w:rPr>
        <w:t>表</w:t>
      </w:r>
      <w:r>
        <w:rPr>
          <w:rFonts w:hint="eastAsia"/>
          <w:lang w:val="en-US" w:eastAsia="zh-CN"/>
        </w:rPr>
        <w:t>2-36</w:t>
      </w:r>
      <w:r>
        <w:rPr>
          <w:rFonts w:hint="default"/>
          <w:lang w:val="en-US" w:eastAsia="zh-CN"/>
        </w:rPr>
        <w:t xml:space="preserve"> </w:t>
      </w:r>
      <w:r>
        <w:rPr>
          <w:rFonts w:hint="eastAsia"/>
          <w:lang w:val="en-US" w:eastAsia="zh-CN"/>
        </w:rPr>
        <w:t>居住用地</w:t>
      </w:r>
      <w:r>
        <w:rPr>
          <w:rFonts w:hint="default"/>
          <w:lang w:val="en-US" w:eastAsia="zh-CN"/>
        </w:rPr>
        <w:t>建筑物朝向修正系数表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1180"/>
        <w:gridCol w:w="1421"/>
        <w:gridCol w:w="1272"/>
        <w:gridCol w:w="1439"/>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9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指标标准说明</w:t>
            </w:r>
          </w:p>
        </w:tc>
        <w:tc>
          <w:tcPr>
            <w:tcW w:w="118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南</w:t>
            </w:r>
          </w:p>
        </w:tc>
        <w:tc>
          <w:tcPr>
            <w:tcW w:w="142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东南、西南</w:t>
            </w:r>
          </w:p>
        </w:tc>
        <w:tc>
          <w:tcPr>
            <w:tcW w:w="127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w:t>
            </w:r>
          </w:p>
        </w:tc>
        <w:tc>
          <w:tcPr>
            <w:tcW w:w="143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东北、西北</w:t>
            </w:r>
          </w:p>
        </w:tc>
        <w:tc>
          <w:tcPr>
            <w:tcW w:w="13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北、西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79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1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42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3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0.98</w:t>
            </w:r>
          </w:p>
        </w:tc>
        <w:tc>
          <w:tcPr>
            <w:tcW w:w="13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0.96</w:t>
            </w:r>
          </w:p>
        </w:tc>
      </w:tr>
    </w:tbl>
    <w:p>
      <w:pPr>
        <w:pStyle w:val="6"/>
        <w:bidi w:val="0"/>
        <w:rPr>
          <w:rFonts w:hint="default"/>
          <w:lang w:val="en-US" w:eastAsia="zh-CN"/>
        </w:rPr>
      </w:pPr>
      <w:r>
        <w:rPr>
          <w:rFonts w:hint="default"/>
          <w:lang w:val="en-US" w:eastAsia="zh-CN"/>
        </w:rPr>
        <w:t>（</w:t>
      </w:r>
      <w:r>
        <w:rPr>
          <w:rFonts w:hint="eastAsia"/>
          <w:lang w:val="en-US" w:eastAsia="zh-CN"/>
        </w:rPr>
        <w:t>7</w:t>
      </w:r>
      <w:r>
        <w:rPr>
          <w:rFonts w:hint="default"/>
          <w:lang w:val="en-US" w:eastAsia="zh-CN"/>
        </w:rPr>
        <w:t>）宗地开发程度修正系数</w:t>
      </w:r>
    </w:p>
    <w:p>
      <w:pPr>
        <w:bidi w:val="0"/>
        <w:rPr>
          <w:rFonts w:hint="default"/>
          <w:lang w:val="en-US" w:eastAsia="zh-CN"/>
        </w:rPr>
      </w:pPr>
      <w:r>
        <w:rPr>
          <w:rFonts w:hint="default"/>
          <w:lang w:val="en-US" w:eastAsia="zh-CN"/>
        </w:rPr>
        <w:t>随州市</w:t>
      </w:r>
      <w:r>
        <w:rPr>
          <w:rFonts w:hint="eastAsia"/>
          <w:lang w:val="en-US" w:eastAsia="zh-CN"/>
        </w:rPr>
        <w:t>城区</w:t>
      </w:r>
      <w:r>
        <w:rPr>
          <w:rFonts w:hint="default"/>
          <w:lang w:val="en-US" w:eastAsia="zh-CN"/>
        </w:rPr>
        <w:t>本次基准地价更新</w:t>
      </w:r>
      <w:r>
        <w:rPr>
          <w:rFonts w:hint="eastAsia"/>
          <w:lang w:val="en-US" w:eastAsia="zh-CN"/>
        </w:rPr>
        <w:t>居住用地</w:t>
      </w:r>
      <w:r>
        <w:rPr>
          <w:rFonts w:hint="default"/>
          <w:lang w:val="en-US" w:eastAsia="zh-CN"/>
        </w:rPr>
        <w:t>设定的开发程度为红线外“六通一平”。若宗地基础设施配套程度</w:t>
      </w:r>
      <w:r>
        <w:rPr>
          <w:rFonts w:hint="eastAsia"/>
          <w:lang w:val="en-US" w:eastAsia="zh-CN"/>
        </w:rPr>
        <w:t>未</w:t>
      </w:r>
      <w:r>
        <w:rPr>
          <w:rFonts w:hint="default"/>
          <w:lang w:val="en-US" w:eastAsia="zh-CN"/>
        </w:rPr>
        <w:t>达到该程度，利用基准地价来评估宗地地价时就应该减去相应的开发费用。若待估宗地开发程度超过了设定程度，在评估单位地价时应加上相应开发费用（土地平整费用视具体情况而定）。</w:t>
      </w:r>
    </w:p>
    <w:p>
      <w:pPr>
        <w:pStyle w:val="27"/>
        <w:bidi w:val="0"/>
        <w:rPr>
          <w:rFonts w:hint="default"/>
          <w:lang w:val="en-US" w:eastAsia="zh-CN"/>
        </w:rPr>
      </w:pPr>
      <w:r>
        <w:rPr>
          <w:rFonts w:hint="default"/>
          <w:lang w:val="en-US" w:eastAsia="zh-CN"/>
        </w:rPr>
        <w:t>表</w:t>
      </w:r>
      <w:r>
        <w:rPr>
          <w:rFonts w:hint="eastAsia"/>
          <w:lang w:val="en-US" w:eastAsia="zh-CN"/>
        </w:rPr>
        <w:t>2-37</w:t>
      </w:r>
      <w:r>
        <w:rPr>
          <w:rFonts w:hint="default"/>
          <w:lang w:val="en-US" w:eastAsia="zh-CN"/>
        </w:rPr>
        <w:t xml:space="preserve"> 开发程度修正值范围表</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right"/>
        <w:textAlignment w:val="auto"/>
        <w:outlineLvl w:val="9"/>
        <w:rPr>
          <w:rFonts w:hint="eastAsia" w:ascii="仿宋" w:hAnsi="仿宋" w:eastAsia="仿宋" w:cs="仿宋"/>
          <w:sz w:val="18"/>
        </w:rPr>
      </w:pPr>
      <w:r>
        <w:rPr>
          <w:rFonts w:hint="eastAsia" w:ascii="仿宋" w:hAnsi="仿宋" w:eastAsia="仿宋" w:cs="仿宋"/>
          <w:b/>
          <w:sz w:val="18"/>
        </w:rPr>
        <w:t>单位：元/m</w:t>
      </w:r>
      <w:r>
        <w:rPr>
          <w:rFonts w:hint="eastAsia" w:ascii="仿宋" w:hAnsi="仿宋" w:eastAsia="仿宋" w:cs="仿宋"/>
          <w:b/>
          <w:sz w:val="18"/>
          <w:vertAlign w:val="superscript"/>
        </w:rPr>
        <w:t>2</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1219"/>
        <w:gridCol w:w="1219"/>
        <w:gridCol w:w="1217"/>
        <w:gridCol w:w="1217"/>
        <w:gridCol w:w="1217"/>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21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开发程度</w:t>
            </w:r>
          </w:p>
        </w:tc>
        <w:tc>
          <w:tcPr>
            <w:tcW w:w="121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通路</w:t>
            </w:r>
          </w:p>
        </w:tc>
        <w:tc>
          <w:tcPr>
            <w:tcW w:w="121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通电</w:t>
            </w:r>
          </w:p>
        </w:tc>
        <w:tc>
          <w:tcPr>
            <w:tcW w:w="121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通上水</w:t>
            </w:r>
          </w:p>
        </w:tc>
        <w:tc>
          <w:tcPr>
            <w:tcW w:w="1217"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通下水</w:t>
            </w:r>
          </w:p>
        </w:tc>
        <w:tc>
          <w:tcPr>
            <w:tcW w:w="1217"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通气</w:t>
            </w:r>
          </w:p>
        </w:tc>
        <w:tc>
          <w:tcPr>
            <w:tcW w:w="1214"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21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六通一平</w:t>
            </w:r>
          </w:p>
        </w:tc>
        <w:tc>
          <w:tcPr>
            <w:tcW w:w="121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30</w:t>
            </w:r>
          </w:p>
        </w:tc>
        <w:tc>
          <w:tcPr>
            <w:tcW w:w="121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21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c>
          <w:tcPr>
            <w:tcW w:w="121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r>
    </w:tbl>
    <w:p>
      <w:pPr>
        <w:rPr>
          <w:rFonts w:hint="default"/>
          <w:lang w:val="en-US" w:eastAsia="zh-CN"/>
        </w:rPr>
      </w:pPr>
      <w:r>
        <w:rPr>
          <w:rFonts w:hint="default"/>
          <w:lang w:val="en-US" w:eastAsia="zh-CN"/>
        </w:rPr>
        <w:br w:type="page"/>
      </w:r>
    </w:p>
    <w:p>
      <w:pPr>
        <w:pStyle w:val="4"/>
        <w:bidi w:val="0"/>
        <w:rPr>
          <w:rFonts w:hint="eastAsia"/>
        </w:rPr>
      </w:pPr>
      <w:bookmarkStart w:id="25" w:name="_Toc23683"/>
      <w:r>
        <w:rPr>
          <w:rFonts w:hint="eastAsia"/>
          <w:lang w:val="en-US" w:eastAsia="zh-CN"/>
        </w:rPr>
        <w:t>（三）工矿用地</w:t>
      </w:r>
      <w:r>
        <w:rPr>
          <w:rFonts w:hint="eastAsia"/>
        </w:rPr>
        <w:t>基准地价修正体系</w:t>
      </w:r>
      <w:bookmarkEnd w:id="25"/>
    </w:p>
    <w:p>
      <w:pPr>
        <w:pStyle w:val="5"/>
        <w:bidi w:val="0"/>
        <w:rPr>
          <w:rFonts w:hint="eastAsia"/>
          <w:lang w:val="en-US" w:eastAsia="zh-CN"/>
        </w:rPr>
      </w:pPr>
      <w:bookmarkStart w:id="26" w:name="_Toc30698"/>
      <w:r>
        <w:rPr>
          <w:rFonts w:hint="eastAsia"/>
          <w:lang w:val="en-US" w:eastAsia="zh-CN"/>
        </w:rPr>
        <w:t>1.工矿用地</w:t>
      </w:r>
      <w:r>
        <w:rPr>
          <w:rFonts w:hint="eastAsia"/>
        </w:rPr>
        <w:t>基准地价</w:t>
      </w:r>
      <w:r>
        <w:rPr>
          <w:rFonts w:hint="eastAsia"/>
          <w:lang w:val="en-US" w:eastAsia="zh-CN"/>
        </w:rPr>
        <w:t>区域因素修正体系</w:t>
      </w:r>
      <w:bookmarkEnd w:id="26"/>
    </w:p>
    <w:p>
      <w:pPr>
        <w:pStyle w:val="6"/>
        <w:bidi w:val="0"/>
      </w:pPr>
      <w:r>
        <w:rPr>
          <w:rFonts w:hint="eastAsia"/>
        </w:rPr>
        <w:t>（</w:t>
      </w:r>
      <w:r>
        <w:rPr>
          <w:rFonts w:hint="eastAsia"/>
          <w:lang w:val="en-US" w:eastAsia="zh-CN"/>
        </w:rPr>
        <w:t>1</w:t>
      </w:r>
      <w:r>
        <w:rPr>
          <w:rFonts w:hint="eastAsia"/>
        </w:rPr>
        <w:t>）Ⅰ级</w:t>
      </w:r>
      <w:r>
        <w:rPr>
          <w:rFonts w:hint="eastAsia"/>
          <w:lang w:val="en-US" w:eastAsia="zh-CN"/>
        </w:rPr>
        <w:t>工矿用地</w:t>
      </w:r>
      <w:r>
        <w:rPr>
          <w:rFonts w:hint="eastAsia"/>
        </w:rPr>
        <w:t>宗地地价区域因素修正系数</w:t>
      </w:r>
    </w:p>
    <w:p>
      <w:pPr>
        <w:pStyle w:val="27"/>
        <w:bidi w:val="0"/>
        <w:rPr>
          <w:rFonts w:hint="eastAsia"/>
          <w:lang w:val="en-US" w:eastAsia="zh-CN"/>
        </w:rPr>
      </w:pPr>
      <w:r>
        <w:rPr>
          <w:rFonts w:hint="eastAsia"/>
          <w:lang w:val="en-US" w:eastAsia="zh-CN"/>
        </w:rPr>
        <w:t>表2-38 Ⅰ级工矿用地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221"/>
        <w:gridCol w:w="1479"/>
        <w:gridCol w:w="1500"/>
        <w:gridCol w:w="1564"/>
        <w:gridCol w:w="1436"/>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221"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47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50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56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3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98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(3000,5000]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(5000,6000]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距高速出入口距离(米）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(3000,5000]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(7000,9000]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距货运站距离(米）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(800,1300]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(1300,1800]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(1800,2300]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供气状况（%）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[95,98)</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[93,95)</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[90,93)</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排水状况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雨污分流制，排水通畅，无积水</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雨污分流制，排水通畅，遇暴雨有少量积水</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雨污合流制，排水通畅</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雨污合流制，遇暴雨严重积水</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高新技术产业联系紧密区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高新技术产业联系一般区、一般产业联系紧密区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高新技术产业联系松散区、一般产业联系一般区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一般产业联系松散区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独立分布区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交通枢纽区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综合服务区、绿地休闲区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表2-39 Ⅰ级工矿用地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709"/>
        <w:gridCol w:w="1093"/>
        <w:gridCol w:w="1157"/>
        <w:gridCol w:w="1072"/>
        <w:gridCol w:w="985"/>
        <w:gridCol w:w="1029"/>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709"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93"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15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72"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02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89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0.1841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0.0406</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0.0203</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-0.0203</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0.0638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高速出入口</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0.0661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0.0146</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0.0073</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-0.0073</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货运站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0.0542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0.0120</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供气</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0.1289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0.0284</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0.0142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-0.0142</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排水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0.1290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0.0285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0.0142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-0.0142</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lang w:val="en-US" w:eastAsia="zh-CN"/>
              </w:rPr>
              <w:t>-0.0285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0.1449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0.0320</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0.1418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0.0342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-0.0038</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重点建设区规划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0.0263</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0.0267</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r>
    </w:tbl>
    <w:p>
      <w:pPr>
        <w:rPr>
          <w:rFonts w:hint="eastAsia"/>
        </w:rPr>
      </w:pPr>
      <w:r>
        <w:rPr>
          <w:rFonts w:hint="eastAsia"/>
        </w:rPr>
        <w:br w:type="page"/>
      </w:r>
    </w:p>
    <w:p>
      <w:pPr>
        <w:pStyle w:val="6"/>
        <w:bidi w:val="0"/>
      </w:pPr>
      <w:r>
        <w:rPr>
          <w:rFonts w:hint="eastAsia"/>
        </w:rPr>
        <w:t>（</w:t>
      </w:r>
      <w:r>
        <w:rPr>
          <w:rFonts w:hint="eastAsia"/>
          <w:lang w:val="en-US" w:eastAsia="zh-CN"/>
        </w:rPr>
        <w:t>2</w:t>
      </w:r>
      <w:r>
        <w:rPr>
          <w:rFonts w:hint="eastAsia"/>
        </w:rPr>
        <w:t>）</w:t>
      </w:r>
      <w:r>
        <w:rPr>
          <w:rFonts w:hint="eastAsia"/>
          <w:lang w:val="en-US" w:eastAsia="zh-CN"/>
        </w:rPr>
        <w:t>Ⅱ</w:t>
      </w:r>
      <w:r>
        <w:rPr>
          <w:rFonts w:hint="eastAsia"/>
        </w:rPr>
        <w:t>级</w:t>
      </w:r>
      <w:r>
        <w:rPr>
          <w:rFonts w:hint="eastAsia"/>
          <w:lang w:val="en-US" w:eastAsia="zh-CN"/>
        </w:rPr>
        <w:t>工矿用地</w:t>
      </w:r>
      <w:r>
        <w:rPr>
          <w:rFonts w:hint="eastAsia"/>
        </w:rPr>
        <w:t>宗地地价区域因素修正系数</w:t>
      </w:r>
    </w:p>
    <w:p>
      <w:pPr>
        <w:pStyle w:val="27"/>
        <w:bidi w:val="0"/>
        <w:rPr>
          <w:rFonts w:hint="eastAsia"/>
          <w:lang w:val="en-US" w:eastAsia="zh-CN"/>
        </w:rPr>
      </w:pPr>
      <w:r>
        <w:rPr>
          <w:rFonts w:hint="eastAsia"/>
          <w:lang w:val="en-US" w:eastAsia="zh-CN"/>
        </w:rPr>
        <w:t>表2-40 Ⅱ级工矿用地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221"/>
        <w:gridCol w:w="1479"/>
        <w:gridCol w:w="1500"/>
        <w:gridCol w:w="1564"/>
        <w:gridCol w:w="1436"/>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221"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47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50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56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3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98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(3000,5000]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(7000,9000]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距高速出入口距离(米）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(7000,9000]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(9000,11000]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距货运站距离(米）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(1000，1400]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(1400，1800]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(1800，2600]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供气状况（%）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[95,98)</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[93,95)</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[90,93)</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排水状况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雨污分流制，排水通畅，无积水</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雨污分流制，排水通畅，遇暴雨有少量积水</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雨污合流制，排水通畅</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雨污合流制，遇暴雨严重积水</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高新技术产业联系紧密区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高新技术产业联系一般区、一般产业联系紧密区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高新技术产业联系松散区、一般产业联系一般区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一般产业联系松散区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独立分布区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交通枢纽区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综合服务区、绿地休闲区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表2-41 Ⅱ级工矿用地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709"/>
        <w:gridCol w:w="1093"/>
        <w:gridCol w:w="1157"/>
        <w:gridCol w:w="1072"/>
        <w:gridCol w:w="985"/>
        <w:gridCol w:w="1029"/>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709"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93"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15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72"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02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89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0.1841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0.0401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0.0201</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-0.0202</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0.0638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0.0139</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高速出入口</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0.0661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0.0144</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-0.0072</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货运站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0.0542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供气</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0.1289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0.0281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0.0140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-0.0141</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排水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0.1290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0.0281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0.0141</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-0.0141</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0.1449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0.0316</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0.1418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0.0309</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0.0154</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-0.0155</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0.0342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-0.0038</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重点建设区规划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0.0263</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0.0267</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-0.0029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-0.0059</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3</w:t>
      </w:r>
      <w:r>
        <w:rPr>
          <w:rFonts w:hint="eastAsia"/>
        </w:rPr>
        <w:t>）</w:t>
      </w:r>
      <w:r>
        <w:rPr>
          <w:rFonts w:hint="eastAsia"/>
          <w:lang w:val="en-US" w:eastAsia="zh-CN"/>
        </w:rPr>
        <w:t>Ⅲ</w:t>
      </w:r>
      <w:r>
        <w:rPr>
          <w:rFonts w:hint="eastAsia"/>
        </w:rPr>
        <w:t>级</w:t>
      </w:r>
      <w:r>
        <w:rPr>
          <w:rFonts w:hint="eastAsia"/>
          <w:lang w:val="en-US" w:eastAsia="zh-CN"/>
        </w:rPr>
        <w:t>工矿用地</w:t>
      </w:r>
      <w:r>
        <w:rPr>
          <w:rFonts w:hint="eastAsia"/>
        </w:rPr>
        <w:t>宗地地价区域因素修正系数</w:t>
      </w:r>
    </w:p>
    <w:p>
      <w:pPr>
        <w:pStyle w:val="27"/>
        <w:bidi w:val="0"/>
        <w:rPr>
          <w:rFonts w:hint="eastAsia"/>
          <w:lang w:val="en-US" w:eastAsia="zh-CN"/>
        </w:rPr>
      </w:pPr>
      <w:r>
        <w:rPr>
          <w:rFonts w:hint="eastAsia"/>
          <w:lang w:val="en-US" w:eastAsia="zh-CN"/>
        </w:rPr>
        <w:t>表2-42 Ⅲ级工矿用地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221"/>
        <w:gridCol w:w="1479"/>
        <w:gridCol w:w="1500"/>
        <w:gridCol w:w="1564"/>
        <w:gridCol w:w="1436"/>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221"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47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50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56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3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98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(4000,6000]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(6000,8000]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(8000,10000]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距高速出入口距离(米）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(7000,9000]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(9000,11000]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(11000,13000]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距货运站距离(米）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(1400，1800]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(1800，2400]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(2400，3000]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供气状况（%）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[95,98)</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[93,95)</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[90,93)</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排水状况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雨污分流制，排水通畅，无积水</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雨污分流制，排水通畅，遇暴雨有少量积水</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雨污合流制，排水通畅</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雨污合流制，遇暴雨严重积水</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高新技术产业联系紧密区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高新技术产业联系一般区、一般产业联系紧密区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高新技术产业联系松散区、一般产业联系一般区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一般产业联系松散区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独立分布区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交通枢纽区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综合服务区、绿地休闲区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表2-43 Ⅲ级工矿用地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709"/>
        <w:gridCol w:w="1093"/>
        <w:gridCol w:w="1157"/>
        <w:gridCol w:w="1072"/>
        <w:gridCol w:w="985"/>
        <w:gridCol w:w="1029"/>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709"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93"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15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72"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02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89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0.1841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-0.0192</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0.0638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高速出入口</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0.0661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0.0136</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货运站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0.0542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供气</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0.1289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0.0265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0.0132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-0.0135</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排水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0.1290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0.0265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0.0132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-0.0135</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0.1449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-0.0151</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0.1418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0.0291</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-0.0148</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0.0342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重点建设区规划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0.0263</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0.0267</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-0.0056</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4</w:t>
      </w:r>
      <w:r>
        <w:rPr>
          <w:rFonts w:hint="eastAsia"/>
        </w:rPr>
        <w:t>）</w:t>
      </w:r>
      <w:r>
        <w:rPr>
          <w:rFonts w:hint="eastAsia"/>
          <w:lang w:val="en-US" w:eastAsia="zh-CN"/>
        </w:rPr>
        <w:t>IV</w:t>
      </w:r>
      <w:r>
        <w:rPr>
          <w:rFonts w:hint="eastAsia"/>
        </w:rPr>
        <w:t>级</w:t>
      </w:r>
      <w:r>
        <w:rPr>
          <w:rFonts w:hint="eastAsia"/>
          <w:lang w:val="en-US" w:eastAsia="zh-CN"/>
        </w:rPr>
        <w:t>工矿用地</w:t>
      </w:r>
      <w:r>
        <w:rPr>
          <w:rFonts w:hint="eastAsia"/>
        </w:rPr>
        <w:t>宗地地价区域因素修正系数</w:t>
      </w:r>
    </w:p>
    <w:p>
      <w:pPr>
        <w:pStyle w:val="27"/>
        <w:bidi w:val="0"/>
        <w:rPr>
          <w:rFonts w:hint="eastAsia"/>
          <w:lang w:val="en-US" w:eastAsia="zh-CN"/>
        </w:rPr>
      </w:pPr>
      <w:r>
        <w:rPr>
          <w:rFonts w:hint="eastAsia"/>
          <w:lang w:val="en-US" w:eastAsia="zh-CN"/>
        </w:rPr>
        <w:t>表2-44 IV级工矿用地</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221"/>
        <w:gridCol w:w="1479"/>
        <w:gridCol w:w="1500"/>
        <w:gridCol w:w="1564"/>
        <w:gridCol w:w="1436"/>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221"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47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50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564"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43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98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(7000,9000]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(9000,11000]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距高速出入口距离(米）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(8000,10000]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(10000,12000]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(12000,14000]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距货运站距离(米）</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(2000，2700]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(2700，4000]</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供气状况（%）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[95,98)</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[93,95)</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[90,93)</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排水状况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雨污分流制，排水通畅，无积水</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雨污分流制，排水通畅，遇暴雨有少量积水</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雨污合流制，排水通畅</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雨污合流制，遇暴雨严重积水</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产业集聚度</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高新技术产业联系紧密区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高新技术产业联系一般区、一般产业联系紧密区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高新技术产业联系松散区、一般产业联系一般区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一般产业联系松散区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独立分布区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重点建设区规划</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城市更新重点更新片区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城市更新单元主要分布区域</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城市更新单元大量分布区域</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城市更新单元少量分布区域</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城市更新单元未分布区域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交通枢纽区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综合服务区、绿地休闲区</w:t>
            </w:r>
          </w:p>
        </w:tc>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表2-45 IV级工矿用地</w:t>
      </w:r>
      <w:r>
        <w:rPr>
          <w:rFonts w:hint="eastAsia"/>
        </w:rPr>
        <w:t>宗地地价区域</w:t>
      </w:r>
      <w:r>
        <w:rPr>
          <w:rFonts w:hint="eastAsia"/>
          <w:lang w:val="en-US" w:eastAsia="zh-CN"/>
        </w:rPr>
        <w:t>因素</w:t>
      </w:r>
      <w:r>
        <w:rPr>
          <w:rFonts w:hint="eastAsia"/>
        </w:rPr>
        <w:t>修正系数表</w:t>
      </w:r>
    </w:p>
    <w:tbl>
      <w:tblPr>
        <w:tblStyle w:val="21"/>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709"/>
        <w:gridCol w:w="1093"/>
        <w:gridCol w:w="1157"/>
        <w:gridCol w:w="1072"/>
        <w:gridCol w:w="985"/>
        <w:gridCol w:w="1029"/>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709"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93" w:type="dxa"/>
            <w:tcBorders>
              <w:top w:val="single" w:color="000000" w:sz="4" w:space="0"/>
              <w:left w:val="single" w:color="000000" w:sz="4" w:space="0"/>
              <w:bottom w:val="single" w:color="000000" w:sz="4" w:space="0"/>
              <w:right w:val="single" w:color="000000" w:sz="4" w:space="0"/>
            </w:tcBorders>
            <w:shd w:val="clear" w:color="auto" w:fill="BEBEBE"/>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157"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72"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98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02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893"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0.1841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0.0396</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-0.0186</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0.0638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高速出入口</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0.0661</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0.0142</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货运站</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0.0542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供气</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0.1289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0.0278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0.0139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-0.0130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rPr>
            </w:pPr>
            <w:r>
              <w:rPr>
                <w:rFonts w:hint="eastAsia"/>
                <w:sz w:val="18"/>
                <w:szCs w:val="18"/>
                <w:lang w:val="en-US" w:eastAsia="zh-CN"/>
              </w:rPr>
              <w:t>-0.0261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sz w:val="18"/>
              </w:rPr>
            </w:pPr>
            <w:r>
              <w:rPr>
                <w:rFonts w:hint="eastAsia"/>
                <w:sz w:val="18"/>
                <w:lang w:val="en-US" w:eastAsia="zh-CN"/>
              </w:rPr>
              <w:t>排水</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default"/>
                <w:sz w:val="18"/>
                <w:szCs w:val="18"/>
              </w:rPr>
            </w:pPr>
            <w:r>
              <w:rPr>
                <w:rFonts w:hint="default"/>
                <w:sz w:val="18"/>
                <w:szCs w:val="18"/>
                <w:lang w:val="en-US" w:eastAsia="zh-CN"/>
              </w:rPr>
              <w:t>0.1290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0.0278</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0.0139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-0.0130</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ind w:firstLine="0" w:firstLineChars="0"/>
              <w:jc w:val="center"/>
              <w:rPr>
                <w:rFonts w:hint="eastAsia"/>
                <w:sz w:val="18"/>
                <w:szCs w:val="18"/>
              </w:rPr>
            </w:pPr>
            <w:r>
              <w:rPr>
                <w:rFonts w:hint="eastAsia"/>
                <w:sz w:val="18"/>
                <w:szCs w:val="18"/>
                <w:lang w:val="en-US" w:eastAsia="zh-CN"/>
              </w:rPr>
              <w:t>-0.0261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0.1449</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0.0312</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-0.0146</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产业集聚度</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0.1418</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0.0305</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0.0153</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-0.0143</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0.0342</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重点建设区规划</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0.0263</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default"/>
                <w:sz w:val="18"/>
              </w:rPr>
            </w:pPr>
            <w:r>
              <w:rPr>
                <w:rFonts w:hint="default"/>
                <w:sz w:val="18"/>
                <w:lang w:val="en-US" w:eastAsia="zh-CN"/>
              </w:rPr>
              <w:t>0.0267</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-0.0027</w:t>
            </w:r>
          </w:p>
        </w:tc>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-0.0054</w:t>
            </w:r>
          </w:p>
        </w:tc>
      </w:tr>
    </w:tbl>
    <w:p>
      <w:pPr>
        <w:rPr>
          <w:rFonts w:hint="default"/>
          <w:lang w:val="en-US" w:eastAsia="zh-CN"/>
        </w:rPr>
      </w:pPr>
      <w:r>
        <w:rPr>
          <w:rFonts w:hint="default"/>
          <w:lang w:val="en-US" w:eastAsia="zh-CN"/>
        </w:rPr>
        <w:br w:type="page"/>
      </w:r>
    </w:p>
    <w:p>
      <w:pPr>
        <w:pStyle w:val="5"/>
        <w:bidi w:val="0"/>
        <w:rPr>
          <w:rFonts w:hint="eastAsia"/>
          <w:lang w:val="en-US" w:eastAsia="zh-CN"/>
        </w:rPr>
      </w:pPr>
      <w:bookmarkStart w:id="27" w:name="_Toc9446"/>
      <w:r>
        <w:rPr>
          <w:rFonts w:hint="eastAsia"/>
          <w:lang w:val="en-US" w:eastAsia="zh-CN"/>
        </w:rPr>
        <w:t>2.工矿用地</w:t>
      </w:r>
      <w:r>
        <w:rPr>
          <w:rFonts w:hint="eastAsia"/>
        </w:rPr>
        <w:t>基准地价个别因素修正体系</w:t>
      </w:r>
      <w:bookmarkEnd w:id="27"/>
    </w:p>
    <w:p>
      <w:pPr>
        <w:pStyle w:val="6"/>
        <w:bidi w:val="0"/>
        <w:rPr>
          <w:rFonts w:hint="default"/>
          <w:lang w:val="en-US" w:eastAsia="zh-CN"/>
        </w:rPr>
      </w:pPr>
      <w:bookmarkStart w:id="28" w:name="_Toc280274360"/>
      <w:r>
        <w:rPr>
          <w:rFonts w:hint="default"/>
          <w:lang w:val="en-US" w:eastAsia="zh-CN"/>
        </w:rPr>
        <w:t>（</w:t>
      </w:r>
      <w:r>
        <w:rPr>
          <w:rFonts w:hint="eastAsia"/>
          <w:lang w:val="en-US" w:eastAsia="zh-CN"/>
        </w:rPr>
        <w:t>1</w:t>
      </w:r>
      <w:r>
        <w:rPr>
          <w:rFonts w:hint="default"/>
          <w:lang w:val="en-US" w:eastAsia="zh-CN"/>
        </w:rPr>
        <w:t>）使用年期修正系数</w:t>
      </w:r>
      <w:bookmarkEnd w:id="28"/>
    </w:p>
    <w:p>
      <w:pPr>
        <w:pStyle w:val="27"/>
        <w:bidi w:val="0"/>
        <w:rPr>
          <w:rFonts w:hint="default"/>
          <w:lang w:val="en-US" w:eastAsia="zh-CN"/>
        </w:rPr>
      </w:pPr>
      <w:r>
        <w:rPr>
          <w:rFonts w:hint="default"/>
          <w:lang w:val="en-US" w:eastAsia="zh-CN"/>
        </w:rPr>
        <w:t>表</w:t>
      </w:r>
      <w:r>
        <w:rPr>
          <w:rFonts w:hint="eastAsia"/>
          <w:lang w:val="en-US" w:eastAsia="zh-CN"/>
        </w:rPr>
        <w:t>2-46</w:t>
      </w:r>
      <w:r>
        <w:rPr>
          <w:rFonts w:hint="default"/>
          <w:lang w:val="en-US" w:eastAsia="zh-CN"/>
        </w:rPr>
        <w:t xml:space="preserve"> </w:t>
      </w:r>
      <w:r>
        <w:rPr>
          <w:rFonts w:hint="eastAsia"/>
          <w:lang w:val="en-US" w:eastAsia="zh-CN"/>
        </w:rPr>
        <w:t>工矿用地</w:t>
      </w:r>
      <w:r>
        <w:rPr>
          <w:rFonts w:hint="default"/>
          <w:lang w:val="en-US" w:eastAsia="zh-CN"/>
        </w:rPr>
        <w:t>使用年期修正系数表</w:t>
      </w:r>
      <w:r>
        <w:rPr>
          <w:rFonts w:hint="eastAsia"/>
          <w:lang w:val="en-US" w:eastAsia="zh-CN"/>
        </w:rPr>
        <w:t>（还原率=3.99%）</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04"/>
        <w:gridCol w:w="733"/>
        <w:gridCol w:w="733"/>
        <w:gridCol w:w="733"/>
        <w:gridCol w:w="734"/>
        <w:gridCol w:w="733"/>
        <w:gridCol w:w="733"/>
        <w:gridCol w:w="733"/>
        <w:gridCol w:w="734"/>
        <w:gridCol w:w="733"/>
        <w:gridCol w:w="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6</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7</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8</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9</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0.0447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0.0877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0.129</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0.1687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0.2069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0.2437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0.279</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0.313</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0.3457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11</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12</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13</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14</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15</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16</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17</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18</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19</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0.4073</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0.4364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0.4643</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0.4912</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0.517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0.5419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0.5658</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0.5888</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0.6109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21</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22</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23</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24</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25</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26</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27</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28</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29</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0.6525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0.6722</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0.6911</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0.7093</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0.7267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0.7435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0.7597</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0.7752</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0.7902</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31</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32</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33</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34</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35</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36</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37</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38</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39</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0.8184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0.8317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0.8444</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0.8567</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0.8685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0.8799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0.8908</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0.9013</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0.9114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41</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42</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43</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44</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45</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46</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47</w:t>
            </w:r>
          </w:p>
        </w:tc>
        <w:tc>
          <w:tcPr>
            <w:tcW w:w="734"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48</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49</w:t>
            </w:r>
          </w:p>
        </w:tc>
        <w:tc>
          <w:tcPr>
            <w:tcW w:w="733"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100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0.9305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0.9395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0.9481</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0.9564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0.9644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0.9721</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0.9795</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0.9866</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0.9934</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1.0000 </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eastAsia"/>
          <w:sz w:val="18"/>
          <w:lang w:val="en-US" w:eastAsia="zh-CN"/>
        </w:rPr>
        <w:t>注：使用年期为剩余使用年期，其值为非整数时按照要求折算成年。</w:t>
      </w:r>
    </w:p>
    <w:p>
      <w:pPr>
        <w:pStyle w:val="6"/>
        <w:bidi w:val="0"/>
        <w:rPr>
          <w:rFonts w:hint="default"/>
          <w:lang w:val="en-US" w:eastAsia="zh-CN"/>
        </w:rPr>
      </w:pPr>
      <w:r>
        <w:rPr>
          <w:rFonts w:hint="default"/>
          <w:lang w:val="en-US" w:eastAsia="zh-CN"/>
        </w:rPr>
        <w:t>（</w:t>
      </w:r>
      <w:r>
        <w:rPr>
          <w:rFonts w:hint="eastAsia"/>
          <w:lang w:val="en-US" w:eastAsia="zh-CN"/>
        </w:rPr>
        <w:t>2</w:t>
      </w:r>
      <w:r>
        <w:rPr>
          <w:rFonts w:hint="default"/>
          <w:lang w:val="en-US" w:eastAsia="zh-CN"/>
        </w:rPr>
        <w:t>）交易期日修正系数</w:t>
      </w:r>
    </w:p>
    <w:p>
      <w:pPr>
        <w:bidi w:val="0"/>
        <w:rPr>
          <w:rFonts w:hint="default"/>
          <w:lang w:val="en-US" w:eastAsia="zh-CN"/>
        </w:rPr>
      </w:pPr>
      <w:r>
        <w:rPr>
          <w:rFonts w:hint="default"/>
          <w:lang w:val="en-US" w:eastAsia="zh-CN"/>
        </w:rPr>
        <w:t>交易日期修正系数根据20</w:t>
      </w:r>
      <w:r>
        <w:rPr>
          <w:rFonts w:hint="eastAsia"/>
          <w:lang w:val="en-US" w:eastAsia="zh-CN"/>
        </w:rPr>
        <w:t>18</w:t>
      </w:r>
      <w:r>
        <w:rPr>
          <w:rFonts w:hint="default"/>
          <w:lang w:val="en-US" w:eastAsia="zh-CN"/>
        </w:rPr>
        <w:t>年到基准日随州市地价动态监测结果来确定修正系数。</w:t>
      </w:r>
    </w:p>
    <w:p>
      <w:pPr>
        <w:pStyle w:val="27"/>
        <w:bidi w:val="0"/>
        <w:rPr>
          <w:rFonts w:hint="default"/>
          <w:lang w:val="en-US" w:eastAsia="zh-CN"/>
        </w:rPr>
      </w:pPr>
      <w:r>
        <w:rPr>
          <w:rFonts w:hint="default"/>
          <w:lang w:val="en-US" w:eastAsia="zh-CN"/>
        </w:rPr>
        <w:t>表</w:t>
      </w:r>
      <w:r>
        <w:rPr>
          <w:rFonts w:hint="eastAsia"/>
          <w:lang w:val="en-US" w:eastAsia="zh-CN"/>
        </w:rPr>
        <w:t>2-47</w:t>
      </w:r>
      <w:r>
        <w:rPr>
          <w:rFonts w:hint="default"/>
          <w:lang w:val="en-US" w:eastAsia="zh-CN"/>
        </w:rPr>
        <w:t xml:space="preserve"> </w:t>
      </w:r>
      <w:r>
        <w:rPr>
          <w:rFonts w:hint="eastAsia"/>
          <w:lang w:val="en-US" w:eastAsia="zh-CN"/>
        </w:rPr>
        <w:t>工矿用地</w:t>
      </w:r>
      <w:r>
        <w:rPr>
          <w:rFonts w:hint="default"/>
          <w:lang w:val="en-US" w:eastAsia="zh-CN"/>
        </w:rPr>
        <w:t>交易期日修正系数表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90"/>
        <w:gridCol w:w="1191"/>
        <w:gridCol w:w="1192"/>
        <w:gridCol w:w="1192"/>
        <w:gridCol w:w="1191"/>
        <w:gridCol w:w="1190"/>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1190" w:type="dxa"/>
            <w:shd w:val="clear" w:color="auto" w:fill="A4A4A4"/>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年  份</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2018.06.30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2019.06.30</w:t>
            </w:r>
          </w:p>
        </w:tc>
        <w:tc>
          <w:tcPr>
            <w:tcW w:w="11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2020.06.30</w:t>
            </w:r>
          </w:p>
        </w:tc>
        <w:tc>
          <w:tcPr>
            <w:tcW w:w="119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2021.06.30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2022.06.30</w:t>
            </w:r>
          </w:p>
        </w:tc>
        <w:tc>
          <w:tcPr>
            <w:tcW w:w="119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2023.06.30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1190"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修正系数</w:t>
            </w:r>
          </w:p>
        </w:tc>
        <w:tc>
          <w:tcPr>
            <w:tcW w:w="1191"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w:t>
            </w:r>
            <w:r>
              <w:rPr>
                <w:rFonts w:hint="eastAsia" w:ascii="Times New Roman" w:hAnsi="Times New Roman" w:eastAsia="仿宋_GB2312" w:cs="Times New Roman"/>
                <w:b w:val="0"/>
                <w:bCs w:val="0"/>
                <w:i w:val="0"/>
                <w:iCs w:val="0"/>
                <w:color w:val="000000"/>
                <w:kern w:val="0"/>
                <w:sz w:val="21"/>
                <w:szCs w:val="21"/>
                <w:u w:val="none"/>
                <w:lang w:val="en-US" w:eastAsia="zh-CN" w:bidi="ar"/>
              </w:rPr>
              <w:t>08</w:t>
            </w:r>
          </w:p>
        </w:tc>
        <w:tc>
          <w:tcPr>
            <w:tcW w:w="1192"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0.9949</w:t>
            </w:r>
          </w:p>
        </w:tc>
        <w:tc>
          <w:tcPr>
            <w:tcW w:w="1192"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w:t>
            </w:r>
            <w:r>
              <w:rPr>
                <w:rFonts w:hint="eastAsia" w:ascii="Times New Roman" w:hAnsi="Times New Roman" w:eastAsia="仿宋_GB2312" w:cs="Times New Roman"/>
                <w:b w:val="0"/>
                <w:bCs w:val="0"/>
                <w:i w:val="0"/>
                <w:iCs w:val="0"/>
                <w:color w:val="000000"/>
                <w:kern w:val="0"/>
                <w:sz w:val="21"/>
                <w:szCs w:val="21"/>
                <w:u w:val="none"/>
                <w:lang w:val="en-US" w:eastAsia="zh-CN" w:bidi="ar"/>
              </w:rPr>
              <w:t>59</w:t>
            </w:r>
          </w:p>
        </w:tc>
        <w:tc>
          <w:tcPr>
            <w:tcW w:w="1191"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0.9985</w:t>
            </w:r>
          </w:p>
        </w:tc>
        <w:tc>
          <w:tcPr>
            <w:tcW w:w="1190"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0.999</w:t>
            </w:r>
            <w:r>
              <w:rPr>
                <w:rFonts w:hint="eastAsia" w:ascii="Times New Roman" w:hAnsi="Times New Roman" w:eastAsia="仿宋_GB2312" w:cs="Times New Roman"/>
                <w:b w:val="0"/>
                <w:bCs w:val="0"/>
                <w:i w:val="0"/>
                <w:iCs w:val="0"/>
                <w:color w:val="000000"/>
                <w:kern w:val="0"/>
                <w:sz w:val="21"/>
                <w:szCs w:val="21"/>
                <w:u w:val="none"/>
                <w:lang w:val="en-US" w:eastAsia="zh-CN" w:bidi="ar"/>
              </w:rPr>
              <w:t>0</w:t>
            </w:r>
          </w:p>
        </w:tc>
        <w:tc>
          <w:tcPr>
            <w:tcW w:w="1190" w:type="dxa"/>
            <w:noWrap w:val="0"/>
            <w:vAlign w:val="bottom"/>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r>
              <w:rPr>
                <w:rFonts w:hint="eastAsia" w:ascii="Times New Roman" w:hAnsi="Times New Roman" w:eastAsia="仿宋_GB2312" w:cs="Times New Roman"/>
                <w:b w:val="0"/>
                <w:bCs w:val="0"/>
                <w:i w:val="0"/>
                <w:iCs w:val="0"/>
                <w:color w:val="000000"/>
                <w:kern w:val="0"/>
                <w:sz w:val="21"/>
                <w:szCs w:val="21"/>
                <w:u w:val="none"/>
                <w:lang w:val="en-US" w:eastAsia="zh-CN" w:bidi="ar"/>
              </w:rPr>
              <w:t>.0000</w:t>
            </w:r>
          </w:p>
        </w:tc>
      </w:tr>
    </w:tbl>
    <w:p>
      <w:pPr>
        <w:pStyle w:val="6"/>
        <w:bidi w:val="0"/>
        <w:rPr>
          <w:rFonts w:hint="default"/>
          <w:lang w:val="en-US" w:eastAsia="zh-CN"/>
        </w:rPr>
      </w:pPr>
      <w:bookmarkStart w:id="29" w:name="_Toc280274362"/>
      <w:r>
        <w:rPr>
          <w:rFonts w:hint="default"/>
          <w:lang w:val="en-US" w:eastAsia="zh-CN"/>
        </w:rPr>
        <w:t>（</w:t>
      </w:r>
      <w:r>
        <w:rPr>
          <w:rFonts w:hint="eastAsia"/>
          <w:lang w:val="en-US" w:eastAsia="zh-CN"/>
        </w:rPr>
        <w:t>3</w:t>
      </w:r>
      <w:r>
        <w:rPr>
          <w:rFonts w:hint="default"/>
          <w:lang w:val="en-US" w:eastAsia="zh-CN"/>
        </w:rPr>
        <w:t>）宗地面积修正</w:t>
      </w:r>
      <w:bookmarkEnd w:id="29"/>
      <w:r>
        <w:rPr>
          <w:rFonts w:hint="default"/>
          <w:lang w:val="en-US" w:eastAsia="zh-CN"/>
        </w:rPr>
        <w:t>系数</w:t>
      </w:r>
    </w:p>
    <w:p>
      <w:pPr>
        <w:pStyle w:val="27"/>
        <w:bidi w:val="0"/>
        <w:rPr>
          <w:rFonts w:hint="default"/>
          <w:lang w:val="en-US" w:eastAsia="zh-CN"/>
        </w:rPr>
      </w:pPr>
      <w:r>
        <w:rPr>
          <w:rFonts w:hint="default"/>
          <w:lang w:val="en-US" w:eastAsia="zh-CN"/>
        </w:rPr>
        <w:t>表</w:t>
      </w:r>
      <w:r>
        <w:rPr>
          <w:rFonts w:hint="eastAsia"/>
          <w:lang w:val="en-US" w:eastAsia="zh-CN"/>
        </w:rPr>
        <w:t>2-48</w:t>
      </w:r>
      <w:r>
        <w:rPr>
          <w:rFonts w:hint="default"/>
          <w:lang w:val="en-US" w:eastAsia="zh-CN"/>
        </w:rPr>
        <w:t xml:space="preserve"> </w:t>
      </w:r>
      <w:r>
        <w:rPr>
          <w:rFonts w:hint="eastAsia"/>
          <w:lang w:val="en-US" w:eastAsia="zh-CN"/>
        </w:rPr>
        <w:t>工矿用地</w:t>
      </w:r>
      <w:r>
        <w:rPr>
          <w:rFonts w:hint="default"/>
          <w:lang w:val="en-US" w:eastAsia="zh-CN"/>
        </w:rPr>
        <w:t>宗地面积修正明表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49"/>
        <w:gridCol w:w="1364"/>
        <w:gridCol w:w="1358"/>
        <w:gridCol w:w="1606"/>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9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4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6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5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60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65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9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54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面积适中，对土地利用极为有利</w:t>
            </w: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面积对土地利用较为有利</w:t>
            </w:r>
          </w:p>
        </w:tc>
        <w:tc>
          <w:tcPr>
            <w:tcW w:w="135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面积对土地利用无不良影响</w:t>
            </w:r>
          </w:p>
        </w:tc>
        <w:tc>
          <w:tcPr>
            <w:tcW w:w="16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面积较小，对土地利用有一定影响</w:t>
            </w:r>
          </w:p>
        </w:tc>
        <w:tc>
          <w:tcPr>
            <w:tcW w:w="16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面积过小，对土地利用产生严重的影响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9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4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1.07</w:t>
            </w:r>
          </w:p>
        </w:tc>
        <w:tc>
          <w:tcPr>
            <w:tcW w:w="136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1.035</w:t>
            </w:r>
          </w:p>
        </w:tc>
        <w:tc>
          <w:tcPr>
            <w:tcW w:w="135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6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65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0.935</w:t>
            </w:r>
          </w:p>
        </w:tc>
      </w:tr>
    </w:tbl>
    <w:p>
      <w:pPr>
        <w:pStyle w:val="6"/>
        <w:bidi w:val="0"/>
        <w:rPr>
          <w:rFonts w:hint="default"/>
          <w:lang w:val="en-US" w:eastAsia="zh-CN"/>
        </w:rPr>
      </w:pPr>
      <w:bookmarkStart w:id="30" w:name="_Toc280274363"/>
      <w:r>
        <w:rPr>
          <w:rFonts w:hint="default"/>
          <w:lang w:val="en-US" w:eastAsia="zh-CN"/>
        </w:rPr>
        <w:t>（</w:t>
      </w:r>
      <w:r>
        <w:rPr>
          <w:rFonts w:hint="eastAsia"/>
          <w:lang w:val="en-US" w:eastAsia="zh-CN"/>
        </w:rPr>
        <w:t>4</w:t>
      </w:r>
      <w:r>
        <w:rPr>
          <w:rFonts w:hint="default"/>
          <w:lang w:val="en-US" w:eastAsia="zh-CN"/>
        </w:rPr>
        <w:t>）宗地形状修正</w:t>
      </w:r>
      <w:bookmarkEnd w:id="30"/>
      <w:r>
        <w:rPr>
          <w:rFonts w:hint="default"/>
          <w:lang w:val="en-US" w:eastAsia="zh-CN"/>
        </w:rPr>
        <w:t>系数</w:t>
      </w:r>
    </w:p>
    <w:p>
      <w:pPr>
        <w:pStyle w:val="27"/>
        <w:bidi w:val="0"/>
        <w:rPr>
          <w:rFonts w:hint="default"/>
          <w:lang w:val="en-US" w:eastAsia="zh-CN"/>
        </w:rPr>
      </w:pPr>
      <w:r>
        <w:rPr>
          <w:rFonts w:hint="default"/>
          <w:lang w:val="en-US" w:eastAsia="zh-CN"/>
        </w:rPr>
        <w:t>表</w:t>
      </w:r>
      <w:r>
        <w:rPr>
          <w:rFonts w:hint="eastAsia"/>
          <w:lang w:val="en-US" w:eastAsia="zh-CN"/>
        </w:rPr>
        <w:t>2-49</w:t>
      </w:r>
      <w:r>
        <w:rPr>
          <w:rFonts w:hint="default"/>
          <w:lang w:val="en-US" w:eastAsia="zh-CN"/>
        </w:rPr>
        <w:t xml:space="preserve"> </w:t>
      </w:r>
      <w:r>
        <w:rPr>
          <w:rFonts w:hint="eastAsia"/>
          <w:lang w:val="en-US" w:eastAsia="zh-CN"/>
        </w:rPr>
        <w:t>工矿用地</w:t>
      </w:r>
      <w:r>
        <w:rPr>
          <w:rFonts w:hint="default"/>
          <w:lang w:val="en-US" w:eastAsia="zh-CN"/>
        </w:rPr>
        <w:t>宗地形状修正系数表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3"/>
        <w:gridCol w:w="1294"/>
        <w:gridCol w:w="1307"/>
        <w:gridCol w:w="1527"/>
        <w:gridCol w:w="1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993"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53"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29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0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2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4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993"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553"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形状规则，对土地利用合理</w:t>
            </w:r>
          </w:p>
        </w:tc>
        <w:tc>
          <w:tcPr>
            <w:tcW w:w="129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土地利用较为合理</w:t>
            </w:r>
          </w:p>
        </w:tc>
        <w:tc>
          <w:tcPr>
            <w:tcW w:w="130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土地利用无不良影响</w:t>
            </w:r>
          </w:p>
        </w:tc>
        <w:tc>
          <w:tcPr>
            <w:tcW w:w="152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形状不规则，对土地利用不合理</w:t>
            </w:r>
          </w:p>
        </w:tc>
        <w:tc>
          <w:tcPr>
            <w:tcW w:w="184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形状不规则，对土地利用产生严重影响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3"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53"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1.07</w:t>
            </w:r>
          </w:p>
        </w:tc>
        <w:tc>
          <w:tcPr>
            <w:tcW w:w="129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1.035</w:t>
            </w:r>
          </w:p>
        </w:tc>
        <w:tc>
          <w:tcPr>
            <w:tcW w:w="130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2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4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0.935</w:t>
            </w:r>
          </w:p>
        </w:tc>
      </w:tr>
    </w:tbl>
    <w:p>
      <w:pPr>
        <w:pStyle w:val="6"/>
        <w:bidi w:val="0"/>
        <w:rPr>
          <w:rFonts w:hint="default"/>
          <w:lang w:val="en-US" w:eastAsia="zh-CN"/>
        </w:rPr>
      </w:pPr>
      <w:r>
        <w:rPr>
          <w:rFonts w:hint="default"/>
          <w:lang w:val="en-US" w:eastAsia="zh-CN"/>
        </w:rPr>
        <w:t>（</w:t>
      </w:r>
      <w:r>
        <w:rPr>
          <w:rFonts w:hint="eastAsia"/>
          <w:lang w:val="en-US" w:eastAsia="zh-CN"/>
        </w:rPr>
        <w:t>5</w:t>
      </w:r>
      <w:r>
        <w:rPr>
          <w:rFonts w:hint="default"/>
          <w:lang w:val="en-US" w:eastAsia="zh-CN"/>
        </w:rPr>
        <w:t>）宗地开发程度修正系数</w:t>
      </w:r>
    </w:p>
    <w:p>
      <w:pPr>
        <w:bidi w:val="0"/>
        <w:rPr>
          <w:rFonts w:hint="default"/>
          <w:lang w:val="en-US" w:eastAsia="zh-CN"/>
        </w:rPr>
      </w:pPr>
      <w:r>
        <w:rPr>
          <w:rFonts w:hint="default"/>
          <w:lang w:val="en-US" w:eastAsia="zh-CN"/>
        </w:rPr>
        <w:t>随州市</w:t>
      </w:r>
      <w:r>
        <w:rPr>
          <w:rFonts w:hint="eastAsia"/>
          <w:lang w:val="en-US" w:eastAsia="zh-CN"/>
        </w:rPr>
        <w:t>城区</w:t>
      </w:r>
      <w:r>
        <w:rPr>
          <w:rFonts w:hint="default"/>
          <w:lang w:val="en-US" w:eastAsia="zh-CN"/>
        </w:rPr>
        <w:t>本次基准地价更新</w:t>
      </w:r>
      <w:r>
        <w:rPr>
          <w:rFonts w:hint="eastAsia"/>
          <w:lang w:val="en-US" w:eastAsia="zh-CN"/>
        </w:rPr>
        <w:t>工矿用地</w:t>
      </w:r>
      <w:r>
        <w:rPr>
          <w:rFonts w:hint="default"/>
          <w:lang w:val="en-US" w:eastAsia="zh-CN"/>
        </w:rPr>
        <w:t>设定的开发程度为红线外“五通一平”。若宗地基础设施配套程度没有达到该程度，利用基准地价来评估宗地地价时就应该减去相应的开发费用（土地平整费用视具体情况而定）。</w:t>
      </w:r>
    </w:p>
    <w:p>
      <w:pPr>
        <w:pStyle w:val="27"/>
        <w:bidi w:val="0"/>
        <w:rPr>
          <w:rFonts w:hint="default"/>
          <w:lang w:val="en-US" w:eastAsia="zh-CN"/>
        </w:rPr>
      </w:pPr>
      <w:r>
        <w:rPr>
          <w:rFonts w:hint="default"/>
          <w:lang w:val="en-US" w:eastAsia="zh-CN"/>
        </w:rPr>
        <w:t>表</w:t>
      </w:r>
      <w:r>
        <w:rPr>
          <w:rFonts w:hint="eastAsia"/>
          <w:lang w:val="en-US" w:eastAsia="zh-CN"/>
        </w:rPr>
        <w:t>2-50</w:t>
      </w:r>
      <w:r>
        <w:rPr>
          <w:rFonts w:hint="default"/>
          <w:lang w:val="en-US" w:eastAsia="zh-CN"/>
        </w:rPr>
        <w:t xml:space="preserve"> 开发程度修正值范围表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outlineLvl w:val="9"/>
        <w:rPr>
          <w:rFonts w:hint="eastAsia" w:ascii="仿宋" w:hAnsi="仿宋" w:eastAsia="仿宋" w:cs="仿宋"/>
          <w:sz w:val="18"/>
        </w:rPr>
      </w:pPr>
      <w:r>
        <w:rPr>
          <w:rFonts w:hint="eastAsia" w:ascii="仿宋" w:hAnsi="仿宋" w:eastAsia="仿宋" w:cs="仿宋"/>
          <w:b/>
          <w:sz w:val="18"/>
        </w:rPr>
        <w:t>单位：元/m</w:t>
      </w:r>
      <w:r>
        <w:rPr>
          <w:rFonts w:hint="eastAsia" w:ascii="仿宋" w:hAnsi="仿宋" w:eastAsia="仿宋" w:cs="仿宋"/>
          <w:b/>
          <w:sz w:val="18"/>
          <w:vertAlign w:val="superscript"/>
        </w:rPr>
        <w:t>2</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420"/>
        <w:gridCol w:w="1420"/>
        <w:gridCol w:w="1420"/>
        <w:gridCol w:w="1420"/>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2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开发程度</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通路</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通电</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通上水</w:t>
            </w:r>
          </w:p>
        </w:tc>
        <w:tc>
          <w:tcPr>
            <w:tcW w:w="1420"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通下水</w:t>
            </w:r>
          </w:p>
        </w:tc>
        <w:tc>
          <w:tcPr>
            <w:tcW w:w="1416"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42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五通一平</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30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1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r>
    </w:tbl>
    <w:p>
      <w:pPr>
        <w:rPr>
          <w:rFonts w:hint="default"/>
          <w:lang w:val="en-US" w:eastAsia="zh-CN"/>
        </w:rPr>
      </w:pPr>
      <w:r>
        <w:rPr>
          <w:rFonts w:hint="default"/>
          <w:lang w:val="en-US" w:eastAsia="zh-CN"/>
        </w:rPr>
        <w:br w:type="page"/>
      </w:r>
    </w:p>
    <w:p>
      <w:pPr>
        <w:pStyle w:val="4"/>
        <w:bidi w:val="0"/>
        <w:rPr>
          <w:rFonts w:hint="eastAsia"/>
        </w:rPr>
      </w:pPr>
      <w:bookmarkStart w:id="31" w:name="_Toc29387"/>
      <w:r>
        <w:rPr>
          <w:rFonts w:hint="eastAsia"/>
          <w:lang w:val="en-US" w:eastAsia="zh-CN"/>
        </w:rPr>
        <w:t>（四）公共管理与公共服务用地一类</w:t>
      </w:r>
      <w:r>
        <w:rPr>
          <w:rFonts w:hint="eastAsia"/>
        </w:rPr>
        <w:t>基准地价修正体系</w:t>
      </w:r>
      <w:bookmarkEnd w:id="31"/>
    </w:p>
    <w:p>
      <w:pPr>
        <w:pStyle w:val="5"/>
        <w:bidi w:val="0"/>
        <w:rPr>
          <w:rFonts w:hint="eastAsia"/>
          <w:lang w:val="en-US" w:eastAsia="zh-CN"/>
        </w:rPr>
      </w:pPr>
      <w:bookmarkStart w:id="32" w:name="_Toc21311"/>
      <w:r>
        <w:rPr>
          <w:rFonts w:hint="eastAsia"/>
          <w:lang w:val="en-US" w:eastAsia="zh-CN"/>
        </w:rPr>
        <w:t>1.公共管理与公共服务用地一类</w:t>
      </w:r>
      <w:r>
        <w:rPr>
          <w:rFonts w:hint="eastAsia"/>
        </w:rPr>
        <w:t>基准地价</w:t>
      </w:r>
      <w:r>
        <w:rPr>
          <w:rFonts w:hint="eastAsia"/>
          <w:lang w:val="en-US" w:eastAsia="zh-CN"/>
        </w:rPr>
        <w:t>区域因素修正体系</w:t>
      </w:r>
      <w:bookmarkEnd w:id="32"/>
    </w:p>
    <w:p>
      <w:pPr>
        <w:pStyle w:val="6"/>
        <w:bidi w:val="0"/>
      </w:pPr>
      <w:r>
        <w:rPr>
          <w:rFonts w:hint="eastAsia"/>
        </w:rPr>
        <w:t>（</w:t>
      </w:r>
      <w:r>
        <w:rPr>
          <w:rFonts w:hint="eastAsia"/>
          <w:lang w:val="en-US" w:eastAsia="zh-CN"/>
        </w:rPr>
        <w:t>1</w:t>
      </w:r>
      <w:r>
        <w:rPr>
          <w:rFonts w:hint="eastAsia"/>
        </w:rPr>
        <w:t>）Ⅰ级</w:t>
      </w:r>
      <w:r>
        <w:rPr>
          <w:rFonts w:hint="eastAsia"/>
          <w:lang w:val="en-US" w:eastAsia="zh-CN"/>
        </w:rPr>
        <w:t>公共管理与公共服务用地一类</w:t>
      </w:r>
      <w:r>
        <w:rPr>
          <w:rFonts w:hint="eastAsia"/>
        </w:rPr>
        <w:t>宗地地价区域因素修正系数</w:t>
      </w:r>
    </w:p>
    <w:p>
      <w:pPr>
        <w:pStyle w:val="27"/>
        <w:bidi w:val="0"/>
        <w:rPr>
          <w:rFonts w:hint="eastAsia"/>
          <w:lang w:val="en-US" w:eastAsia="zh-CN"/>
        </w:rPr>
      </w:pPr>
      <w:r>
        <w:rPr>
          <w:rFonts w:hint="eastAsia"/>
          <w:lang w:val="en-US" w:eastAsia="zh-CN"/>
        </w:rPr>
        <w:t>表2-51 Ⅰ级公共管理与公共服务用地一类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392"/>
        <w:gridCol w:w="1458"/>
        <w:gridCol w:w="1521"/>
        <w:gridCol w:w="1521"/>
        <w:gridCol w:w="1458"/>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39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96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距商服中心距离(米）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(300,400]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(400,500]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生活型次干道或交通型主干道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距公交站点距离(米）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≤100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(100,200]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(300,500]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(90,95]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(85,90]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(80,85]</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[95,98)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[93,95)</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[90,93)</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雨污分流制，排水通畅，无积水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雨污分流制，排水通畅，遇暴雨有少量积水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雨污合流制，排水通畅</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雨污合流制，遇暴雨严重积水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距离中学(米）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(300,500]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(500,700]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(700,900]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距离医院(米）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≤200或(300,500]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(500,700]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(700,900]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距离公园(米）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(400,600]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(600,800]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轻度污染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污染较重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轻度噪音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噪音较重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人口密度(人/平方公里）</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sz w:val="18"/>
              </w:rPr>
            </w:pPr>
            <w:r>
              <w:rPr>
                <w:rFonts w:hint="default"/>
                <w:sz w:val="18"/>
                <w:lang w:val="en-US" w:eastAsia="zh-CN"/>
              </w:rPr>
              <w:t>≥</w:t>
            </w: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[100,200)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近期规划道路-混合型主干道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近期规划道路-生活型主干道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近期改造道路-生活型次干道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近期改造道路-交通型次干道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综合服务区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居住生活区、商业商务区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绿地休闲区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工业发展区、物流仓储区、交通枢纽区</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战略预留区</w:t>
            </w:r>
          </w:p>
        </w:tc>
      </w:tr>
    </w:tbl>
    <w:p>
      <w:pPr>
        <w:rPr>
          <w:rFonts w:hint="eastAsia"/>
          <w:lang w:val="en-US" w:eastAsia="zh-CN"/>
        </w:rPr>
      </w:pPr>
      <w:r>
        <w:rPr>
          <w:rFonts w:hint="eastAsia"/>
          <w:lang w:val="en-US" w:eastAsia="zh-CN"/>
        </w:rPr>
        <w:br w:type="page"/>
      </w:r>
    </w:p>
    <w:p>
      <w:pPr>
        <w:pStyle w:val="27"/>
        <w:bidi w:val="0"/>
        <w:rPr>
          <w:rFonts w:hint="eastAsia"/>
          <w:lang w:val="en-US" w:eastAsia="zh-CN"/>
        </w:rPr>
      </w:pPr>
      <w:r>
        <w:rPr>
          <w:rFonts w:hint="eastAsia"/>
          <w:lang w:val="en-US" w:eastAsia="zh-CN"/>
        </w:rPr>
        <w:t>表2-52 Ⅰ级公共管理与公共服务用地一类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1003"/>
        <w:gridCol w:w="1004"/>
        <w:gridCol w:w="1004"/>
        <w:gridCol w:w="1004"/>
        <w:gridCol w:w="1052"/>
        <w:gridCol w:w="1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商服中心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0.3398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-0.0061</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2</w:t>
      </w:r>
      <w:r>
        <w:rPr>
          <w:rFonts w:hint="eastAsia"/>
        </w:rPr>
        <w:t>）</w:t>
      </w:r>
      <w:r>
        <w:rPr>
          <w:rFonts w:hint="eastAsia"/>
          <w:lang w:val="en-US" w:eastAsia="zh-CN"/>
        </w:rPr>
        <w:t>Ⅱ</w:t>
      </w:r>
      <w:r>
        <w:rPr>
          <w:rFonts w:hint="eastAsia"/>
        </w:rPr>
        <w:t>级</w:t>
      </w:r>
      <w:r>
        <w:rPr>
          <w:rFonts w:hint="eastAsia"/>
          <w:lang w:val="en-US" w:eastAsia="zh-CN"/>
        </w:rPr>
        <w:t>公共管理与公共服务用地一类</w:t>
      </w:r>
      <w:r>
        <w:rPr>
          <w:rFonts w:hint="eastAsia"/>
        </w:rPr>
        <w:t>宗地地价区域因素修正系数</w:t>
      </w:r>
    </w:p>
    <w:p>
      <w:pPr>
        <w:pStyle w:val="27"/>
        <w:bidi w:val="0"/>
        <w:rPr>
          <w:rFonts w:hint="eastAsia"/>
          <w:lang w:val="en-US" w:eastAsia="zh-CN"/>
        </w:rPr>
      </w:pPr>
      <w:r>
        <w:rPr>
          <w:rFonts w:hint="eastAsia"/>
          <w:lang w:val="en-US" w:eastAsia="zh-CN"/>
        </w:rPr>
        <w:t>表2-53 Ⅱ级公共管理与公共服务用地一类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392"/>
        <w:gridCol w:w="1458"/>
        <w:gridCol w:w="1521"/>
        <w:gridCol w:w="1521"/>
        <w:gridCol w:w="1458"/>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39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96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距商服中心距离(米）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(250,350]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(350,450]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(450,550]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距公交站点距离(米）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(150,250]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(250,350]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 450]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距离中学(米）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(400，700]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距离医院(米）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≤200或(500，800]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(800，1100]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(1100，1400]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距离公园(米）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(400，700]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(700，1000]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(1000，1300]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人口密度(人/平方公里）</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表2-54 Ⅱ级公共管理与公共服务用地一类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商服中心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0.3398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0.0729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0.0365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-0.0361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0.1016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0.1024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-0.0060</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3</w:t>
      </w:r>
      <w:r>
        <w:rPr>
          <w:rFonts w:hint="eastAsia"/>
        </w:rPr>
        <w:t>）</w:t>
      </w:r>
      <w:r>
        <w:rPr>
          <w:rFonts w:hint="eastAsia"/>
          <w:lang w:val="en-US" w:eastAsia="zh-CN"/>
        </w:rPr>
        <w:t>Ⅲ</w:t>
      </w:r>
      <w:r>
        <w:rPr>
          <w:rFonts w:hint="eastAsia"/>
        </w:rPr>
        <w:t>级</w:t>
      </w:r>
      <w:r>
        <w:rPr>
          <w:rFonts w:hint="eastAsia"/>
          <w:lang w:val="en-US" w:eastAsia="zh-CN"/>
        </w:rPr>
        <w:t>公共管理与公共服务用地一类</w:t>
      </w:r>
      <w:r>
        <w:rPr>
          <w:rFonts w:hint="eastAsia"/>
        </w:rPr>
        <w:t>宗地地价区域因素修正系数</w:t>
      </w:r>
    </w:p>
    <w:p>
      <w:pPr>
        <w:pStyle w:val="27"/>
        <w:bidi w:val="0"/>
        <w:rPr>
          <w:rFonts w:hint="eastAsia"/>
          <w:lang w:val="en-US" w:eastAsia="zh-CN"/>
        </w:rPr>
      </w:pPr>
      <w:r>
        <w:rPr>
          <w:rFonts w:hint="eastAsia"/>
          <w:lang w:val="en-US" w:eastAsia="zh-CN"/>
        </w:rPr>
        <w:t>表2-55 Ⅲ级公共管理与公共服务用地一类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392"/>
        <w:gridCol w:w="1458"/>
        <w:gridCol w:w="1521"/>
        <w:gridCol w:w="1521"/>
        <w:gridCol w:w="1458"/>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39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96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距商服中心距离(米）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(400,500]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(500,600]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距公交站点距离(米）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 500]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距离中学(米）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距离医院(米）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(200,800]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≤200或(800,1200]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距离公园(米）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(600,900]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(900,1200]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人口密度(人/平方公里）</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表2-56 Ⅲ级公共管理与公共服务用地一类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商服中心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0.3398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0.0686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0.0343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-0.0428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-0.0856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0.1016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0.1024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0.0029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4</w:t>
      </w:r>
      <w:r>
        <w:rPr>
          <w:rFonts w:hint="eastAsia"/>
        </w:rPr>
        <w:t>）</w:t>
      </w:r>
      <w:r>
        <w:rPr>
          <w:rFonts w:hint="eastAsia"/>
          <w:lang w:val="en-US" w:eastAsia="zh-CN"/>
        </w:rPr>
        <w:t>IV</w:t>
      </w:r>
      <w:r>
        <w:rPr>
          <w:rFonts w:hint="eastAsia"/>
        </w:rPr>
        <w:t>级</w:t>
      </w:r>
      <w:r>
        <w:rPr>
          <w:rFonts w:hint="eastAsia"/>
          <w:lang w:val="en-US" w:eastAsia="zh-CN"/>
        </w:rPr>
        <w:t>公共管理与公共服务用地一类</w:t>
      </w:r>
      <w:r>
        <w:rPr>
          <w:rFonts w:hint="eastAsia"/>
        </w:rPr>
        <w:t>宗地地价区域因素修正系数</w:t>
      </w:r>
    </w:p>
    <w:p>
      <w:pPr>
        <w:pStyle w:val="27"/>
        <w:bidi w:val="0"/>
        <w:rPr>
          <w:rFonts w:hint="eastAsia"/>
          <w:lang w:val="en-US" w:eastAsia="zh-CN"/>
        </w:rPr>
      </w:pPr>
      <w:r>
        <w:rPr>
          <w:rFonts w:hint="eastAsia"/>
          <w:lang w:val="en-US" w:eastAsia="zh-CN"/>
        </w:rPr>
        <w:t>表2-57 IV级公共管理与公共服务用地一类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392"/>
        <w:gridCol w:w="1458"/>
        <w:gridCol w:w="1521"/>
        <w:gridCol w:w="1521"/>
        <w:gridCol w:w="1458"/>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39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96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距商服中心距离(米）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(500,650]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(650,800]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距公交站点距离(米）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(250,350]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(350,450]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(450, 550]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距离中学(米）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(1500，2000]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(2000，2500]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距离医院(米）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≤200或(1000,2000]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距离公园(米）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人口密度(人/平方公里）</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表2-58 IV级公共管理与公共服务用地一类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商服中心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0.3398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0.0870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0.0435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0.1016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0.0260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0.1024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0.0262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5</w:t>
      </w:r>
      <w:r>
        <w:rPr>
          <w:rFonts w:hint="eastAsia"/>
        </w:rPr>
        <w:t>）</w:t>
      </w:r>
      <w:r>
        <w:rPr>
          <w:rFonts w:hint="eastAsia"/>
          <w:lang w:val="en-US" w:eastAsia="zh-CN"/>
        </w:rPr>
        <w:t>Ⅴ</w:t>
      </w:r>
      <w:r>
        <w:rPr>
          <w:rFonts w:hint="eastAsia"/>
        </w:rPr>
        <w:t>级</w:t>
      </w:r>
      <w:r>
        <w:rPr>
          <w:rFonts w:hint="eastAsia"/>
          <w:lang w:val="en-US" w:eastAsia="zh-CN"/>
        </w:rPr>
        <w:t>公共管理与公共服务用地一类</w:t>
      </w:r>
      <w:r>
        <w:rPr>
          <w:rFonts w:hint="eastAsia"/>
        </w:rPr>
        <w:t>宗地地价区域因素修正系数</w:t>
      </w:r>
    </w:p>
    <w:p>
      <w:pPr>
        <w:pStyle w:val="27"/>
        <w:bidi w:val="0"/>
        <w:rPr>
          <w:rFonts w:hint="eastAsia"/>
          <w:lang w:val="en-US" w:eastAsia="zh-CN"/>
        </w:rPr>
      </w:pPr>
      <w:r>
        <w:rPr>
          <w:rFonts w:hint="eastAsia"/>
          <w:lang w:val="en-US" w:eastAsia="zh-CN"/>
        </w:rPr>
        <w:t>表2-59 Ⅴ级公共管理与公共服务用地一类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1392"/>
        <w:gridCol w:w="1458"/>
        <w:gridCol w:w="1521"/>
        <w:gridCol w:w="1521"/>
        <w:gridCol w:w="1458"/>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392"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521"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458"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969"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距商服中心距离(米）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(400,550]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(550,700]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(700,850]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距公交站点距离(米）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(400,500]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距离中学(米）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(1200,1700]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(1700,2200]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(2200,2700]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距离医院(米）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≤200或(1500,2500]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(2500,3500]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(3500,4500]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距离公园(米）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(1400,1800]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(1800,2200]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基本无污染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轻度污染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污染较重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严重污染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基本无噪音</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轻度噪音</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噪音较重</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严重噪音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人口密度(人/平方公里）</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default"/>
                <w:sz w:val="18"/>
                <w:lang w:val="en-US" w:eastAsia="zh-CN"/>
              </w:rPr>
              <w:t>≥</w:t>
            </w:r>
            <w:r>
              <w:rPr>
                <w:rFonts w:hint="eastAsia"/>
                <w:sz w:val="18"/>
                <w:lang w:val="en-US" w:eastAsia="zh-CN"/>
              </w:rPr>
              <w:t>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[300,400)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sz w:val="18"/>
              </w:rPr>
            </w:pPr>
            <w:r>
              <w:rPr>
                <w:rFonts w:hint="eastAsia"/>
                <w:sz w:val="18"/>
                <w:lang w:val="en-US" w:eastAsia="zh-CN"/>
              </w:rPr>
              <w:t>&lt;100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近期规划道路-混合型主干道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近期规划道路-生活型主干道</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近期改造道路-生活型次干道</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近期改造道路-交通型次干道</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远期建设道路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表2-60 Ⅴ级公共管理与公共服务用地一类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繁华程度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商服中心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0.3398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0.0966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-0.0759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0.1016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0.0289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-0.0113</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0.1024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0.0291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0.0308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医院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0.0317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大气状况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噪声状况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0.0757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人口密度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-0.0065</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0.0283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0.0040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-0.0032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-0.0063</w:t>
            </w:r>
          </w:p>
        </w:tc>
      </w:tr>
    </w:tbl>
    <w:p>
      <w:pPr>
        <w:rPr>
          <w:rFonts w:hint="default"/>
          <w:lang w:val="en-US" w:eastAsia="zh-CN"/>
        </w:rPr>
      </w:pPr>
      <w:r>
        <w:rPr>
          <w:rFonts w:hint="default"/>
          <w:lang w:val="en-US" w:eastAsia="zh-CN"/>
        </w:rPr>
        <w:br w:type="page"/>
      </w:r>
    </w:p>
    <w:p>
      <w:pPr>
        <w:pStyle w:val="5"/>
        <w:bidi w:val="0"/>
        <w:rPr>
          <w:rFonts w:hint="eastAsia"/>
          <w:lang w:val="en-US" w:eastAsia="zh-CN"/>
        </w:rPr>
      </w:pPr>
      <w:bookmarkStart w:id="33" w:name="_Toc14704"/>
      <w:r>
        <w:rPr>
          <w:rFonts w:hint="eastAsia"/>
          <w:lang w:val="en-US" w:eastAsia="zh-CN"/>
        </w:rPr>
        <w:t>2.公共管理与公共服务用地一类</w:t>
      </w:r>
      <w:r>
        <w:rPr>
          <w:rFonts w:hint="eastAsia"/>
        </w:rPr>
        <w:t>基准地价个别因素修正体系</w:t>
      </w:r>
      <w:bookmarkEnd w:id="33"/>
    </w:p>
    <w:p>
      <w:pPr>
        <w:pStyle w:val="6"/>
        <w:bidi w:val="0"/>
        <w:rPr>
          <w:rFonts w:hint="default"/>
          <w:lang w:val="en-US" w:eastAsia="zh-CN"/>
        </w:rPr>
      </w:pPr>
      <w:r>
        <w:rPr>
          <w:rFonts w:hint="eastAsia"/>
          <w:lang w:val="en-US" w:eastAsia="zh-CN"/>
        </w:rPr>
        <w:t>（1）</w:t>
      </w:r>
      <w:r>
        <w:rPr>
          <w:rFonts w:hint="default"/>
          <w:lang w:val="en-US" w:eastAsia="zh-CN"/>
        </w:rPr>
        <w:t>容积率修正系数</w:t>
      </w:r>
    </w:p>
    <w:p>
      <w:pPr>
        <w:bidi w:val="0"/>
        <w:rPr>
          <w:rFonts w:hint="default"/>
          <w:lang w:val="en-US" w:eastAsia="zh-CN"/>
        </w:rPr>
      </w:pPr>
      <w:r>
        <w:rPr>
          <w:rFonts w:hint="default"/>
          <w:lang w:val="en-US" w:eastAsia="zh-CN"/>
        </w:rPr>
        <w:t>基准地价是代表设定容积率水平下的地价，在进行宗地地价计算时需将基准地价修正到宗地实际容积率水平下的地价。采用数理统计学原理，调查不同容积率水平下的地价，以容积率作为变量，地价作为应变量作曲线拟合，并通过回归检验，两者线性关系显著，由此确定回归方程参数。利用回归方程参数最终确定容积率与地价的函数关系见下表。</w:t>
      </w:r>
    </w:p>
    <w:p>
      <w:pPr>
        <w:pStyle w:val="27"/>
        <w:bidi w:val="0"/>
        <w:rPr>
          <w:rFonts w:hint="default"/>
          <w:lang w:val="en-US" w:eastAsia="zh-CN"/>
        </w:rPr>
      </w:pPr>
      <w:r>
        <w:rPr>
          <w:rFonts w:hint="default"/>
          <w:lang w:val="en-US" w:eastAsia="zh-CN"/>
        </w:rPr>
        <w:t>表</w:t>
      </w:r>
      <w:r>
        <w:rPr>
          <w:rFonts w:hint="eastAsia"/>
          <w:lang w:val="en-US" w:eastAsia="zh-CN"/>
        </w:rPr>
        <w:t>2-61</w:t>
      </w:r>
      <w:r>
        <w:rPr>
          <w:rFonts w:hint="default"/>
          <w:lang w:val="en-US" w:eastAsia="zh-CN"/>
        </w:rPr>
        <w:t xml:space="preserve"> </w:t>
      </w:r>
      <w:r>
        <w:rPr>
          <w:rFonts w:hint="eastAsia"/>
          <w:lang w:val="en-US" w:eastAsia="zh-CN"/>
        </w:rPr>
        <w:t>公共管理与公共服务用地（一类）</w:t>
      </w:r>
      <w:r>
        <w:rPr>
          <w:rFonts w:hint="default"/>
          <w:lang w:val="en-US" w:eastAsia="zh-CN"/>
        </w:rPr>
        <w:t>容积率与</w:t>
      </w:r>
      <w:r>
        <w:rPr>
          <w:rFonts w:hint="eastAsia"/>
          <w:lang w:val="en-US" w:eastAsia="zh-CN"/>
        </w:rPr>
        <w:t>公共管理与公共服务用地</w:t>
      </w:r>
      <w:r>
        <w:rPr>
          <w:rFonts w:hint="default"/>
          <w:lang w:val="en-US" w:eastAsia="zh-CN"/>
        </w:rPr>
        <w:t>价格的函数关系</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1974"/>
        <w:gridCol w:w="4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shd w:val="clear" w:color="auto" w:fill="A4A4A4"/>
            <w:noWrap w:val="0"/>
            <w:vAlign w:val="center"/>
          </w:tcPr>
          <w:p>
            <w:pPr>
              <w:pStyle w:val="26"/>
              <w:bidi w:val="0"/>
              <w:rPr>
                <w:rFonts w:hint="default"/>
                <w:b/>
                <w:bCs/>
                <w:lang w:val="en-US" w:eastAsia="zh-CN"/>
              </w:rPr>
            </w:pPr>
            <w:r>
              <w:rPr>
                <w:rFonts w:hint="default"/>
                <w:b/>
                <w:bCs/>
                <w:lang w:val="en-US" w:eastAsia="zh-CN"/>
              </w:rPr>
              <w:t>用途</w:t>
            </w:r>
          </w:p>
        </w:tc>
        <w:tc>
          <w:tcPr>
            <w:tcW w:w="1974" w:type="dxa"/>
            <w:shd w:val="clear" w:color="auto" w:fill="A4A4A4"/>
            <w:noWrap w:val="0"/>
            <w:vAlign w:val="center"/>
          </w:tcPr>
          <w:p>
            <w:pPr>
              <w:pStyle w:val="26"/>
              <w:bidi w:val="0"/>
              <w:rPr>
                <w:rFonts w:hint="default"/>
                <w:b/>
                <w:bCs/>
                <w:lang w:val="en-US" w:eastAsia="zh-CN"/>
              </w:rPr>
            </w:pPr>
            <w:r>
              <w:rPr>
                <w:rFonts w:hint="default"/>
                <w:b/>
                <w:bCs/>
                <w:lang w:val="en-US" w:eastAsia="zh-CN"/>
              </w:rPr>
              <w:t>级别</w:t>
            </w:r>
          </w:p>
        </w:tc>
        <w:tc>
          <w:tcPr>
            <w:tcW w:w="4759" w:type="dxa"/>
            <w:shd w:val="clear" w:color="auto" w:fill="A4A4A4"/>
            <w:noWrap w:val="0"/>
            <w:vAlign w:val="center"/>
          </w:tcPr>
          <w:p>
            <w:pPr>
              <w:pStyle w:val="26"/>
              <w:bidi w:val="0"/>
              <w:rPr>
                <w:rFonts w:hint="default"/>
                <w:b/>
                <w:bCs/>
                <w:lang w:val="en-US" w:eastAsia="zh-CN"/>
              </w:rPr>
            </w:pPr>
            <w:r>
              <w:rPr>
                <w:rFonts w:hint="default"/>
                <w:b/>
                <w:bCs/>
                <w:lang w:val="en-US" w:eastAsia="zh-CN"/>
              </w:rPr>
              <w:t>函数关系</w:t>
            </w:r>
            <w:r>
              <w:rPr>
                <w:rFonts w:hint="eastAsia"/>
                <w:b/>
                <w:bCs/>
                <w:lang w:val="en-US" w:eastAsia="zh-CN"/>
              </w:rPr>
              <w:t>（</w:t>
            </w:r>
            <w:r>
              <w:rPr>
                <w:rFonts w:hint="default"/>
                <w:b/>
                <w:bCs/>
                <w:lang w:val="en-US" w:eastAsia="zh-CN"/>
              </w:rPr>
              <w:t>x代表容积率，y代表</w:t>
            </w:r>
            <w:r>
              <w:rPr>
                <w:rFonts w:hint="eastAsia"/>
                <w:b/>
                <w:bCs/>
                <w:lang w:val="en-US" w:eastAsia="zh-CN"/>
              </w:rPr>
              <w:t>公共管理与公共服务用地</w:t>
            </w:r>
            <w:r>
              <w:rPr>
                <w:rFonts w:hint="default"/>
                <w:b/>
                <w:bCs/>
                <w:lang w:val="en-US" w:eastAsia="zh-CN"/>
              </w:rPr>
              <w:t>价格</w:t>
            </w:r>
            <w:r>
              <w:rPr>
                <w:rFonts w:hint="eastAsia"/>
                <w:b/>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restart"/>
            <w:noWrap w:val="0"/>
            <w:vAlign w:val="center"/>
          </w:tcPr>
          <w:p>
            <w:pPr>
              <w:pStyle w:val="26"/>
              <w:bidi w:val="0"/>
              <w:rPr>
                <w:rFonts w:hint="eastAsia"/>
                <w:lang w:val="en-US" w:eastAsia="zh-CN"/>
              </w:rPr>
            </w:pPr>
            <w:r>
              <w:rPr>
                <w:rFonts w:hint="eastAsia"/>
                <w:lang w:val="en-US" w:eastAsia="zh-CN"/>
              </w:rPr>
              <w:t>公共管理与公共服务用地（一类）</w:t>
            </w:r>
          </w:p>
        </w:tc>
        <w:tc>
          <w:tcPr>
            <w:tcW w:w="1974" w:type="dxa"/>
            <w:noWrap w:val="0"/>
            <w:vAlign w:val="center"/>
          </w:tcPr>
          <w:p>
            <w:pPr>
              <w:pStyle w:val="26"/>
              <w:bidi w:val="0"/>
              <w:rPr>
                <w:rFonts w:hint="default"/>
                <w:lang w:val="en-US" w:eastAsia="zh-CN"/>
              </w:rPr>
            </w:pPr>
            <w:r>
              <w:rPr>
                <w:rFonts w:hint="default"/>
                <w:lang w:val="en-US" w:eastAsia="zh-CN"/>
              </w:rPr>
              <w:t>Ⅰ级</w:t>
            </w:r>
          </w:p>
        </w:tc>
        <w:tc>
          <w:tcPr>
            <w:tcW w:w="4759" w:type="dxa"/>
            <w:noWrap w:val="0"/>
            <w:vAlign w:val="center"/>
          </w:tcPr>
          <w:p>
            <w:pPr>
              <w:pStyle w:val="26"/>
              <w:bidi w:val="0"/>
              <w:rPr>
                <w:rFonts w:hint="default"/>
                <w:lang w:val="en-US" w:eastAsia="zh-CN"/>
              </w:rPr>
            </w:pPr>
            <w:r>
              <w:rPr>
                <w:rFonts w:hint="default"/>
                <w:lang w:val="en-US" w:eastAsia="zh-CN"/>
              </w:rPr>
              <w:t>y=-</w:t>
            </w:r>
            <w:r>
              <w:rPr>
                <w:rFonts w:hint="eastAsia"/>
                <w:lang w:val="en-US" w:eastAsia="zh-CN"/>
              </w:rPr>
              <w:t>0.5362</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830.52</w:t>
            </w:r>
            <w:r>
              <w:rPr>
                <w:rFonts w:hint="default"/>
                <w:lang w:val="en-US" w:eastAsia="zh-CN"/>
              </w:rPr>
              <w:t>x+</w:t>
            </w:r>
            <w:r>
              <w:rPr>
                <w:rFonts w:hint="eastAsia"/>
                <w:lang w:val="en-US" w:eastAsia="zh-CN"/>
              </w:rPr>
              <w:t>344.57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Ⅱ级</w:t>
            </w:r>
          </w:p>
        </w:tc>
        <w:tc>
          <w:tcPr>
            <w:tcW w:w="4759" w:type="dxa"/>
            <w:noWrap w:val="0"/>
            <w:vAlign w:val="center"/>
          </w:tcPr>
          <w:p>
            <w:pPr>
              <w:pStyle w:val="26"/>
              <w:bidi w:val="0"/>
              <w:rPr>
                <w:rFonts w:hint="default"/>
                <w:lang w:val="en-US" w:eastAsia="zh-CN"/>
              </w:rPr>
            </w:pPr>
            <w:r>
              <w:rPr>
                <w:rFonts w:hint="default"/>
                <w:lang w:val="en-US" w:eastAsia="zh-CN"/>
              </w:rPr>
              <w:t>y=-0.4</w:t>
            </w:r>
            <w:r>
              <w:rPr>
                <w:rFonts w:hint="eastAsia"/>
                <w:lang w:val="en-US" w:eastAsia="zh-CN"/>
              </w:rPr>
              <w:t>728</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567.11</w:t>
            </w:r>
            <w:r>
              <w:rPr>
                <w:rFonts w:hint="default"/>
                <w:lang w:val="en-US" w:eastAsia="zh-CN"/>
              </w:rPr>
              <w:t>x+</w:t>
            </w:r>
            <w:r>
              <w:rPr>
                <w:rFonts w:hint="eastAsia"/>
                <w:lang w:val="en-US" w:eastAsia="zh-CN"/>
              </w:rPr>
              <w:t>434.823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Ⅲ级</w:t>
            </w:r>
          </w:p>
        </w:tc>
        <w:tc>
          <w:tcPr>
            <w:tcW w:w="4759" w:type="dxa"/>
            <w:noWrap w:val="0"/>
            <w:vAlign w:val="center"/>
          </w:tcPr>
          <w:p>
            <w:pPr>
              <w:pStyle w:val="26"/>
              <w:bidi w:val="0"/>
              <w:rPr>
                <w:rFonts w:hint="default"/>
                <w:lang w:val="en-US" w:eastAsia="zh-CN"/>
              </w:rPr>
            </w:pPr>
            <w:r>
              <w:rPr>
                <w:rFonts w:hint="default"/>
                <w:lang w:val="en-US" w:eastAsia="zh-CN"/>
              </w:rPr>
              <w:t>y=-0.</w:t>
            </w:r>
            <w:r>
              <w:rPr>
                <w:rFonts w:hint="eastAsia"/>
                <w:lang w:val="en-US" w:eastAsia="zh-CN"/>
              </w:rPr>
              <w:t>3853</w:t>
            </w:r>
            <w:r>
              <w:rPr>
                <w:rFonts w:hint="default"/>
                <w:lang w:val="en-US" w:eastAsia="zh-CN"/>
              </w:rPr>
              <w:t>x</w:t>
            </w:r>
            <w:r>
              <w:rPr>
                <w:rFonts w:hint="default"/>
                <w:sz w:val="24"/>
                <w:vertAlign w:val="superscript"/>
                <w:lang w:val="en-US" w:eastAsia="zh-CN"/>
              </w:rPr>
              <w:t>2</w:t>
            </w:r>
            <w:r>
              <w:rPr>
                <w:rFonts w:hint="default"/>
                <w:lang w:val="en-US" w:eastAsia="zh-CN"/>
              </w:rPr>
              <w:t>+3</w:t>
            </w:r>
            <w:r>
              <w:rPr>
                <w:rFonts w:hint="eastAsia"/>
                <w:lang w:val="en-US" w:eastAsia="zh-CN"/>
              </w:rPr>
              <w:t>69.28</w:t>
            </w:r>
            <w:r>
              <w:rPr>
                <w:rFonts w:hint="default"/>
                <w:lang w:val="en-US" w:eastAsia="zh-CN"/>
              </w:rPr>
              <w:t>x+</w:t>
            </w:r>
            <w:r>
              <w:rPr>
                <w:rFonts w:hint="eastAsia"/>
                <w:lang w:val="en-US" w:eastAsia="zh-CN"/>
              </w:rPr>
              <w:t>330.67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Ⅳ级</w:t>
            </w:r>
          </w:p>
        </w:tc>
        <w:tc>
          <w:tcPr>
            <w:tcW w:w="4759" w:type="dxa"/>
            <w:noWrap w:val="0"/>
            <w:vAlign w:val="center"/>
          </w:tcPr>
          <w:p>
            <w:pPr>
              <w:pStyle w:val="26"/>
              <w:bidi w:val="0"/>
              <w:rPr>
                <w:rFonts w:hint="default"/>
                <w:lang w:val="en-US" w:eastAsia="zh-CN"/>
              </w:rPr>
            </w:pPr>
            <w:r>
              <w:rPr>
                <w:rFonts w:hint="default"/>
                <w:lang w:val="en-US" w:eastAsia="zh-CN"/>
              </w:rPr>
              <w:t>y=-0.2</w:t>
            </w:r>
            <w:r>
              <w:rPr>
                <w:rFonts w:hint="eastAsia"/>
                <w:lang w:val="en-US" w:eastAsia="zh-CN"/>
              </w:rPr>
              <w:t>784</w:t>
            </w:r>
            <w:r>
              <w:rPr>
                <w:rFonts w:hint="default"/>
                <w:lang w:val="en-US" w:eastAsia="zh-CN"/>
              </w:rPr>
              <w:t>x</w:t>
            </w:r>
            <w:r>
              <w:rPr>
                <w:rFonts w:hint="default"/>
                <w:sz w:val="24"/>
                <w:vertAlign w:val="superscript"/>
                <w:lang w:val="en-US" w:eastAsia="zh-CN"/>
              </w:rPr>
              <w:t>2</w:t>
            </w:r>
            <w:r>
              <w:rPr>
                <w:rFonts w:hint="default"/>
                <w:lang w:val="en-US" w:eastAsia="zh-CN"/>
              </w:rPr>
              <w:t>+1</w:t>
            </w:r>
            <w:r>
              <w:rPr>
                <w:rFonts w:hint="eastAsia"/>
                <w:lang w:val="en-US" w:eastAsia="zh-CN"/>
              </w:rPr>
              <w:t>87.23</w:t>
            </w:r>
            <w:r>
              <w:rPr>
                <w:rFonts w:hint="default"/>
                <w:lang w:val="en-US" w:eastAsia="zh-CN"/>
              </w:rPr>
              <w:t>x+</w:t>
            </w:r>
            <w:r>
              <w:rPr>
                <w:rFonts w:hint="eastAsia"/>
                <w:lang w:val="en-US" w:eastAsia="zh-CN"/>
              </w:rPr>
              <w:t>245.34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9" w:type="dxa"/>
            <w:vMerge w:val="continue"/>
            <w:noWrap w:val="0"/>
            <w:vAlign w:val="center"/>
          </w:tcPr>
          <w:p>
            <w:pPr>
              <w:pStyle w:val="26"/>
              <w:bidi w:val="0"/>
              <w:rPr>
                <w:rFonts w:hint="default"/>
                <w:lang w:val="en-US" w:eastAsia="zh-CN"/>
              </w:rPr>
            </w:pPr>
          </w:p>
        </w:tc>
        <w:tc>
          <w:tcPr>
            <w:tcW w:w="1974" w:type="dxa"/>
            <w:noWrap w:val="0"/>
            <w:vAlign w:val="center"/>
          </w:tcPr>
          <w:p>
            <w:pPr>
              <w:pStyle w:val="26"/>
              <w:bidi w:val="0"/>
              <w:rPr>
                <w:rFonts w:hint="default"/>
                <w:lang w:val="en-US" w:eastAsia="zh-CN"/>
              </w:rPr>
            </w:pPr>
            <w:r>
              <w:rPr>
                <w:rFonts w:hint="default"/>
                <w:lang w:val="en-US" w:eastAsia="zh-CN"/>
              </w:rPr>
              <w:t>Ⅴ级</w:t>
            </w:r>
          </w:p>
        </w:tc>
        <w:tc>
          <w:tcPr>
            <w:tcW w:w="4759" w:type="dxa"/>
            <w:noWrap w:val="0"/>
            <w:vAlign w:val="center"/>
          </w:tcPr>
          <w:p>
            <w:pPr>
              <w:pStyle w:val="26"/>
              <w:bidi w:val="0"/>
              <w:rPr>
                <w:rFonts w:hint="default"/>
                <w:lang w:val="en-US" w:eastAsia="zh-CN"/>
              </w:rPr>
            </w:pPr>
            <w:r>
              <w:rPr>
                <w:rFonts w:hint="default"/>
                <w:lang w:val="en-US" w:eastAsia="zh-CN"/>
              </w:rPr>
              <w:t>y=-0.1</w:t>
            </w:r>
            <w:r>
              <w:rPr>
                <w:rFonts w:hint="eastAsia"/>
                <w:lang w:val="en-US" w:eastAsia="zh-CN"/>
              </w:rPr>
              <w:t>703</w:t>
            </w:r>
            <w:r>
              <w:rPr>
                <w:rFonts w:hint="default"/>
                <w:lang w:val="en-US" w:eastAsia="zh-CN"/>
              </w:rPr>
              <w:t>x</w:t>
            </w:r>
            <w:r>
              <w:rPr>
                <w:rFonts w:hint="default"/>
                <w:sz w:val="24"/>
                <w:vertAlign w:val="superscript"/>
                <w:lang w:val="en-US" w:eastAsia="zh-CN"/>
              </w:rPr>
              <w:t>2</w:t>
            </w:r>
            <w:r>
              <w:rPr>
                <w:rFonts w:hint="default"/>
                <w:lang w:val="en-US" w:eastAsia="zh-CN"/>
              </w:rPr>
              <w:t>+</w:t>
            </w:r>
            <w:r>
              <w:rPr>
                <w:rFonts w:hint="eastAsia"/>
                <w:lang w:val="en-US" w:eastAsia="zh-CN"/>
              </w:rPr>
              <w:t>121.76</w:t>
            </w:r>
            <w:r>
              <w:rPr>
                <w:rFonts w:hint="default"/>
                <w:lang w:val="en-US" w:eastAsia="zh-CN"/>
              </w:rPr>
              <w:t>x+</w:t>
            </w:r>
            <w:r>
              <w:rPr>
                <w:rFonts w:hint="eastAsia"/>
                <w:lang w:val="en-US" w:eastAsia="zh-CN"/>
              </w:rPr>
              <w:t>122.91</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根据以上容积率地价函数关系，测算各容积率下地价与平均容积率下的地价比值作为修正系数，则公共服务项目（</w:t>
      </w:r>
      <w:r>
        <w:rPr>
          <w:rFonts w:hint="eastAsia"/>
          <w:sz w:val="18"/>
          <w:lang w:val="en-US" w:eastAsia="zh-CN"/>
        </w:rPr>
        <w:t>一类</w:t>
      </w:r>
      <w:r>
        <w:rPr>
          <w:rFonts w:hint="default"/>
          <w:sz w:val="18"/>
          <w:lang w:val="en-US" w:eastAsia="zh-CN"/>
        </w:rPr>
        <w:t>）部分容积率修正系数见表</w:t>
      </w:r>
      <w:r>
        <w:rPr>
          <w:rFonts w:hint="eastAsia"/>
          <w:sz w:val="18"/>
          <w:lang w:val="en-US" w:eastAsia="zh-CN"/>
        </w:rPr>
        <w:t>4</w:t>
      </w:r>
      <w:r>
        <w:rPr>
          <w:rFonts w:hint="default"/>
          <w:sz w:val="18"/>
          <w:lang w:val="en-US" w:eastAsia="zh-CN"/>
        </w:rPr>
        <w:t>-</w:t>
      </w:r>
      <w:r>
        <w:rPr>
          <w:rFonts w:hint="eastAsia"/>
          <w:sz w:val="18"/>
          <w:lang w:val="en-US" w:eastAsia="zh-CN"/>
        </w:rPr>
        <w:t>5-12</w:t>
      </w:r>
      <w:r>
        <w:rPr>
          <w:rFonts w:hint="default"/>
          <w:sz w:val="18"/>
          <w:lang w:val="en-US" w:eastAsia="zh-CN"/>
        </w:rPr>
        <w:t>。如容积率不为整数可利用内插法求取修正系数；如容积率不在表</w:t>
      </w:r>
      <w:r>
        <w:rPr>
          <w:rFonts w:hint="eastAsia"/>
          <w:sz w:val="18"/>
          <w:lang w:val="en-US" w:eastAsia="zh-CN"/>
        </w:rPr>
        <w:t>4</w:t>
      </w:r>
      <w:r>
        <w:rPr>
          <w:rFonts w:hint="default"/>
          <w:sz w:val="18"/>
          <w:lang w:val="en-US" w:eastAsia="zh-CN"/>
        </w:rPr>
        <w:t>-</w:t>
      </w:r>
      <w:r>
        <w:rPr>
          <w:rFonts w:hint="eastAsia"/>
          <w:sz w:val="18"/>
          <w:lang w:val="en-US" w:eastAsia="zh-CN"/>
        </w:rPr>
        <w:t>5-12</w:t>
      </w:r>
      <w:r>
        <w:rPr>
          <w:rFonts w:hint="default"/>
          <w:sz w:val="18"/>
          <w:lang w:val="en-US" w:eastAsia="zh-CN"/>
        </w:rPr>
        <w:t>范围内，则可先根据</w:t>
      </w:r>
      <w:r>
        <w:rPr>
          <w:rFonts w:hint="eastAsia"/>
          <w:sz w:val="18"/>
          <w:lang w:val="en-US" w:eastAsia="zh-CN"/>
        </w:rPr>
        <w:t>表4</w:t>
      </w:r>
      <w:r>
        <w:rPr>
          <w:rFonts w:hint="default"/>
          <w:sz w:val="18"/>
          <w:lang w:val="en-US" w:eastAsia="zh-CN"/>
        </w:rPr>
        <w:t>-</w:t>
      </w:r>
      <w:r>
        <w:rPr>
          <w:rFonts w:hint="eastAsia"/>
          <w:sz w:val="18"/>
          <w:lang w:val="en-US" w:eastAsia="zh-CN"/>
        </w:rPr>
        <w:t>5-11</w:t>
      </w:r>
      <w:r>
        <w:rPr>
          <w:rFonts w:hint="default"/>
          <w:sz w:val="18"/>
          <w:lang w:val="en-US" w:eastAsia="zh-CN"/>
        </w:rPr>
        <w:t>的相应公式求取容积率下的地价水平，再与平均容积率下地价水平相比，得出修正系数。</w:t>
      </w:r>
    </w:p>
    <w:p>
      <w:pPr>
        <w:pStyle w:val="27"/>
        <w:bidi w:val="0"/>
        <w:rPr>
          <w:rFonts w:hint="default"/>
          <w:lang w:val="en-US" w:eastAsia="zh-CN"/>
        </w:rPr>
      </w:pPr>
      <w:r>
        <w:rPr>
          <w:rFonts w:hint="default"/>
          <w:lang w:val="en-US" w:eastAsia="zh-CN"/>
        </w:rPr>
        <w:t>表</w:t>
      </w:r>
      <w:r>
        <w:rPr>
          <w:rFonts w:hint="eastAsia"/>
          <w:lang w:val="en-US" w:eastAsia="zh-CN"/>
        </w:rPr>
        <w:t>2-62</w:t>
      </w:r>
      <w:r>
        <w:rPr>
          <w:rFonts w:hint="default"/>
          <w:lang w:val="en-US" w:eastAsia="zh-CN"/>
        </w:rPr>
        <w:t xml:space="preserve"> 随州市</w:t>
      </w:r>
      <w:r>
        <w:rPr>
          <w:rFonts w:hint="eastAsia"/>
          <w:lang w:val="en-US" w:eastAsia="zh-CN"/>
        </w:rPr>
        <w:t>公共管理与公共服务用地（一类）</w:t>
      </w:r>
      <w:r>
        <w:rPr>
          <w:rFonts w:hint="default"/>
          <w:lang w:val="en-US" w:eastAsia="zh-CN"/>
        </w:rPr>
        <w:t>容积率修正系数表</w:t>
      </w:r>
    </w:p>
    <w:tbl>
      <w:tblPr>
        <w:tblStyle w:val="21"/>
        <w:tblW w:w="0" w:type="auto"/>
        <w:tblInd w:w="103" w:type="dxa"/>
        <w:tblLayout w:type="fixed"/>
        <w:tblCellMar>
          <w:top w:w="0" w:type="dxa"/>
          <w:left w:w="108" w:type="dxa"/>
          <w:bottom w:w="0" w:type="dxa"/>
          <w:right w:w="108" w:type="dxa"/>
        </w:tblCellMar>
      </w:tblPr>
      <w:tblGrid>
        <w:gridCol w:w="1421"/>
        <w:gridCol w:w="1421"/>
        <w:gridCol w:w="1420"/>
        <w:gridCol w:w="1420"/>
        <w:gridCol w:w="1420"/>
        <w:gridCol w:w="1420"/>
      </w:tblGrid>
      <w:tr>
        <w:tblPrEx>
          <w:tblCellMar>
            <w:top w:w="0" w:type="dxa"/>
            <w:left w:w="108" w:type="dxa"/>
            <w:bottom w:w="0" w:type="dxa"/>
            <w:right w:w="108" w:type="dxa"/>
          </w:tblCellMar>
        </w:tblPrEx>
        <w:trPr>
          <w:trHeight w:val="312" w:hRule="atLeast"/>
          <w:tblHeader/>
        </w:trPr>
        <w:tc>
          <w:tcPr>
            <w:tcW w:w="1421" w:type="dxa"/>
            <w:vMerge w:val="restart"/>
            <w:tcBorders>
              <w:top w:val="single" w:color="auto" w:sz="4" w:space="0"/>
              <w:left w:val="single" w:color="auto" w:sz="4" w:space="0"/>
              <w:bottom w:val="single" w:color="auto" w:sz="4" w:space="0"/>
              <w:right w:val="single" w:color="auto" w:sz="4" w:space="0"/>
              <w:tl2br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 xml:space="preserve">        级别容积率</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I</w:t>
            </w:r>
            <w:r>
              <w:rPr>
                <w:rFonts w:hint="default" w:ascii="Times New Roman" w:hAnsi="Times New Roman" w:eastAsia="宋体" w:cs="Times New Roman"/>
                <w:b/>
                <w:bCs/>
                <w:i w:val="0"/>
                <w:iCs w:val="0"/>
                <w:color w:val="000000"/>
                <w:kern w:val="0"/>
                <w:sz w:val="18"/>
                <w:szCs w:val="18"/>
                <w:u w:val="none"/>
                <w:lang w:val="en-US" w:eastAsia="zh-CN" w:bidi="ar"/>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II</w:t>
            </w:r>
            <w:r>
              <w:rPr>
                <w:rFonts w:hint="default" w:ascii="Times New Roman" w:hAnsi="Times New Roman" w:eastAsia="宋体" w:cs="Times New Roman"/>
                <w:b/>
                <w:bCs/>
                <w:i w:val="0"/>
                <w:iCs w:val="0"/>
                <w:color w:val="000000"/>
                <w:kern w:val="0"/>
                <w:sz w:val="18"/>
                <w:szCs w:val="18"/>
                <w:u w:val="none"/>
                <w:lang w:val="en-US" w:eastAsia="zh-CN" w:bidi="ar"/>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III</w:t>
            </w:r>
            <w:r>
              <w:rPr>
                <w:rFonts w:hint="default" w:ascii="Times New Roman" w:hAnsi="Times New Roman" w:eastAsia="宋体" w:cs="Times New Roman"/>
                <w:b/>
                <w:bCs/>
                <w:i w:val="0"/>
                <w:iCs w:val="0"/>
                <w:color w:val="000000"/>
                <w:kern w:val="0"/>
                <w:sz w:val="18"/>
                <w:szCs w:val="18"/>
                <w:u w:val="none"/>
                <w:lang w:val="en-US" w:eastAsia="zh-CN" w:bidi="ar"/>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IV</w:t>
            </w:r>
            <w:r>
              <w:rPr>
                <w:rFonts w:hint="default" w:ascii="Times New Roman" w:hAnsi="Times New Roman" w:eastAsia="宋体" w:cs="Times New Roman"/>
                <w:b/>
                <w:bCs/>
                <w:i w:val="0"/>
                <w:iCs w:val="0"/>
                <w:color w:val="000000"/>
                <w:kern w:val="0"/>
                <w:sz w:val="18"/>
                <w:szCs w:val="18"/>
                <w:u w:val="none"/>
                <w:lang w:val="en-US" w:eastAsia="zh-CN" w:bidi="ar"/>
              </w:rPr>
              <w:t>级</w:t>
            </w:r>
          </w:p>
        </w:tc>
        <w:tc>
          <w:tcPr>
            <w:tcW w:w="1420" w:type="dxa"/>
            <w:vMerge w:val="restart"/>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V</w:t>
            </w:r>
            <w:r>
              <w:rPr>
                <w:rFonts w:hint="default" w:ascii="Times New Roman" w:hAnsi="Times New Roman" w:eastAsia="宋体" w:cs="Times New Roman"/>
                <w:b/>
                <w:bCs/>
                <w:i w:val="0"/>
                <w:iCs w:val="0"/>
                <w:color w:val="000000"/>
                <w:kern w:val="0"/>
                <w:sz w:val="18"/>
                <w:szCs w:val="18"/>
                <w:u w:val="none"/>
                <w:lang w:val="en-US" w:eastAsia="zh-CN" w:bidi="ar"/>
              </w:rPr>
              <w:t>级</w:t>
            </w:r>
          </w:p>
        </w:tc>
      </w:tr>
      <w:tr>
        <w:tblPrEx>
          <w:tblCellMar>
            <w:top w:w="0" w:type="dxa"/>
            <w:left w:w="108" w:type="dxa"/>
            <w:bottom w:w="0" w:type="dxa"/>
            <w:right w:w="108" w:type="dxa"/>
          </w:tblCellMar>
        </w:tblPrEx>
        <w:trPr>
          <w:trHeight w:val="312" w:hRule="atLeast"/>
          <w:tblHeader/>
        </w:trPr>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20" w:type="dxa"/>
            <w:vMerge w:val="continue"/>
            <w:tcBorders>
              <w:top w:val="single" w:color="auto" w:sz="4" w:space="0"/>
              <w:left w:val="single" w:color="auto" w:sz="4" w:space="0"/>
              <w:bottom w:val="single" w:color="auto" w:sz="4" w:space="0"/>
              <w:right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0.8763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0.8984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0.9047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0.9205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0.9097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0.9381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0.9492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0.9524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0.9603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0.9548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1.0000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1.0619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1.0508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1.0476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1.0397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1.0451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1.1237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1.1015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1.0953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1.0794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1.0903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1.1856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1.1523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1.1429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1.1191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1.1354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1.2474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1.2030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1.1905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1.1588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1.1805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1.3092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1.2538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1.2381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1.1985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1.2256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1.3710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1.3045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1.2856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1.2381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1.2707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1.4328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1.3552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1.3332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1.2778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1.3157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1.4947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1.4059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1.3808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1.3174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1.3608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1.5564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1.4566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1.4283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1.3571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1.4058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1.5848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1.4542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1.4718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1.3967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1.4330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1.5893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1.4592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1.4770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1.4284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1.4378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1.4641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1.4822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1.4331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1.4425</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1.5982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1.4691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1.4873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1.4378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1.4473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1.6027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1.4741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1.4925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1.4425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1.4520</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1.4791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1.4977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1.4472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1.4568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2.8</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1.6116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1.4841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1.5029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1.4519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1.4616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2.9</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1.6160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1.4891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1.5080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1.4566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1.4663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1.6205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1.4940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1.5132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1.4613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1.4711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1.6249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1.4990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1.5184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1.4660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1.4758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1.6294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1.5040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1.5236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1.4707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1.4806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1.6338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1.5090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1.5287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1.4754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1.4853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1.6383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1.5140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1.5339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1.4801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1.4901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1.6427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1.5190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1.5391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1.4848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1.4948</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1.6472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1.5239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1.5443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1.4895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1.4996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3.7</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1.6516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1.5289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1.5495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1.4942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1.5043</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3.8</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1.6561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1.5339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1.5546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1.4989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1.5091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3.9</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1.6605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1.5389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1.5598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1.5036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1.5139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1.6650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1.5439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1.5650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1.5083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1.5186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1.6695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1.5489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1.5702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1.5130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1.5234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1.6739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1.5538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1.5753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1.5177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1.5281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1.6784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1.5588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1.5805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1.5224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1.5329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1.6828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1.5638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1.5857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1.5271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1.5376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1.6873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1.5688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1.5909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1.5318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1.5424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1.6917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1.5738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1.5960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1.5365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1.5471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4.7</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1.6962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1.5787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1.6012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1.5412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1.5519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1.7006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1.6064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1.5459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1.5566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4.9</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1.7051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1.5887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1.6115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1.5506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1.5614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1.7095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1.6167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1.5553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1.5661</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1.7140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1.5987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1.6219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1.5600</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1.5709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1.7184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1.5647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1.5756</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5.3</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1.7229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1.6086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1.6322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1.5694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1.5804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5.4</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1.7273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1.6136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1.6374</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1.5741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1.5852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5.5</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1.5848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1.6186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1.6426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1.5788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1.5899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1.5893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1.6236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1.6478</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1.5835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1.5947</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5.7</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1.5937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1.6286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1.6529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1.5882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1.5994</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1.5982</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1.6335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1.6581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1.5929</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1.6042</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5.9</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1.6027</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1.6385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1.6633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1.5976</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1.6089</w:t>
            </w:r>
          </w:p>
        </w:tc>
      </w:tr>
      <w:tr>
        <w:tblPrEx>
          <w:tblCellMar>
            <w:top w:w="0" w:type="dxa"/>
            <w:left w:w="108" w:type="dxa"/>
            <w:bottom w:w="0" w:type="dxa"/>
            <w:right w:w="108" w:type="dxa"/>
          </w:tblCellMar>
        </w:tblPrEx>
        <w:trPr>
          <w:trHeight w:val="225"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4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1.6071</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1.6435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1.6685</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1.6023</w:t>
            </w:r>
          </w:p>
        </w:tc>
        <w:tc>
          <w:tcPr>
            <w:tcW w:w="14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1.6137</w:t>
            </w:r>
          </w:p>
        </w:tc>
      </w:tr>
    </w:tbl>
    <w:p>
      <w:pPr>
        <w:pStyle w:val="6"/>
        <w:bidi w:val="0"/>
        <w:rPr>
          <w:rFonts w:hint="default"/>
          <w:lang w:val="en-US" w:eastAsia="zh-CN"/>
        </w:rPr>
      </w:pPr>
      <w:r>
        <w:rPr>
          <w:rFonts w:hint="default"/>
          <w:lang w:val="en-US" w:eastAsia="zh-CN"/>
        </w:rPr>
        <w:t>（</w:t>
      </w:r>
      <w:r>
        <w:rPr>
          <w:rFonts w:hint="eastAsia"/>
          <w:lang w:val="en-US" w:eastAsia="zh-CN"/>
        </w:rPr>
        <w:t>2</w:t>
      </w:r>
      <w:r>
        <w:rPr>
          <w:rFonts w:hint="default"/>
          <w:lang w:val="en-US" w:eastAsia="zh-CN"/>
        </w:rPr>
        <w:t>）使用年期修正系数</w:t>
      </w:r>
    </w:p>
    <w:p>
      <w:pPr>
        <w:pStyle w:val="27"/>
        <w:bidi w:val="0"/>
        <w:rPr>
          <w:rFonts w:hint="eastAsia"/>
          <w:lang w:val="en-US" w:eastAsia="zh-CN"/>
        </w:rPr>
      </w:pPr>
      <w:r>
        <w:rPr>
          <w:rFonts w:hint="default"/>
          <w:lang w:val="en-US" w:eastAsia="zh-CN"/>
        </w:rPr>
        <w:t>表</w:t>
      </w:r>
      <w:r>
        <w:rPr>
          <w:rFonts w:hint="eastAsia"/>
          <w:lang w:val="en-US" w:eastAsia="zh-CN"/>
        </w:rPr>
        <w:t>2-63</w:t>
      </w:r>
      <w:r>
        <w:rPr>
          <w:rFonts w:hint="default"/>
          <w:lang w:val="en-US" w:eastAsia="zh-CN"/>
        </w:rPr>
        <w:t xml:space="preserve"> </w:t>
      </w:r>
      <w:r>
        <w:rPr>
          <w:rFonts w:hint="eastAsia"/>
          <w:lang w:val="en-US" w:eastAsia="zh-CN"/>
        </w:rPr>
        <w:t>公共管理与公共服务用地一类</w:t>
      </w:r>
      <w:r>
        <w:rPr>
          <w:rFonts w:hint="default"/>
          <w:lang w:val="en-US" w:eastAsia="zh-CN"/>
        </w:rPr>
        <w:t>使用年期修正系数表</w:t>
      </w:r>
      <w:r>
        <w:rPr>
          <w:rFonts w:hint="eastAsia"/>
          <w:lang w:val="en-US" w:eastAsia="zh-CN"/>
        </w:rPr>
        <w:t>（还原率=4.31%）</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80"/>
        <w:gridCol w:w="746"/>
        <w:gridCol w:w="745"/>
        <w:gridCol w:w="746"/>
        <w:gridCol w:w="746"/>
        <w:gridCol w:w="745"/>
        <w:gridCol w:w="746"/>
        <w:gridCol w:w="745"/>
        <w:gridCol w:w="746"/>
        <w:gridCol w:w="745"/>
        <w:gridCol w:w="7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0.047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0.0921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0.1353</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0.1767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0.2165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0.2545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0.291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0.326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0.3596</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0.4226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0.4521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0.4805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0.5076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0.5337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0.5587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0.5826</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0.6055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0.6275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0.6689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0.6882</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0.7068</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0.7246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0.7417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0.7581</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0.7738</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0.7888</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0.8033</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0.8304</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0.8431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0.8553</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0.8669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0.8781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0.8889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0.8992</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0.909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0.9185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0.9276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0.9363</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0.9446</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0.9526</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0.9602</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0.9676</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0.9746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0.9814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0.9878</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0.9941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eastAsia="宋体" w:cs="Times New Roman"/>
                <w:i w:val="0"/>
                <w:iCs w:val="0"/>
                <w:color w:val="000000"/>
                <w:kern w:val="0"/>
                <w:sz w:val="18"/>
                <w:szCs w:val="18"/>
                <w:u w:val="none"/>
                <w:lang w:val="en-US" w:eastAsia="zh-CN" w:bidi="ar"/>
              </w:rPr>
              <w:t>.0000</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注：（1）使用年期为剩余使用年期，其值为非整数时按照要求折算成年。</w:t>
      </w:r>
    </w:p>
    <w:p>
      <w:pPr>
        <w:rPr>
          <w:rFonts w:hint="default"/>
          <w:lang w:val="en-US" w:eastAsia="zh-CN"/>
        </w:rPr>
      </w:pPr>
      <w:r>
        <w:rPr>
          <w:rFonts w:hint="default"/>
          <w:lang w:val="en-US" w:eastAsia="zh-CN"/>
        </w:rPr>
        <w:br w:type="page"/>
      </w:r>
    </w:p>
    <w:p>
      <w:pPr>
        <w:pStyle w:val="6"/>
        <w:bidi w:val="0"/>
        <w:rPr>
          <w:rFonts w:hint="default"/>
          <w:lang w:val="en-US" w:eastAsia="zh-CN"/>
        </w:rPr>
      </w:pPr>
      <w:r>
        <w:rPr>
          <w:rFonts w:hint="default"/>
          <w:lang w:val="en-US" w:eastAsia="zh-CN"/>
        </w:rPr>
        <w:t>（</w:t>
      </w:r>
      <w:r>
        <w:rPr>
          <w:rFonts w:hint="eastAsia"/>
          <w:lang w:val="en-US" w:eastAsia="zh-CN"/>
        </w:rPr>
        <w:t>3</w:t>
      </w:r>
      <w:r>
        <w:rPr>
          <w:rFonts w:hint="default"/>
          <w:lang w:val="en-US" w:eastAsia="zh-CN"/>
        </w:rPr>
        <w:t>）宗地面积修正系数</w:t>
      </w:r>
    </w:p>
    <w:p>
      <w:pPr>
        <w:pStyle w:val="27"/>
        <w:bidi w:val="0"/>
        <w:rPr>
          <w:rFonts w:hint="default"/>
          <w:lang w:val="en-US" w:eastAsia="zh-CN"/>
        </w:rPr>
      </w:pPr>
      <w:r>
        <w:rPr>
          <w:rFonts w:hint="default"/>
          <w:lang w:val="en-US" w:eastAsia="zh-CN"/>
        </w:rPr>
        <w:t>表</w:t>
      </w:r>
      <w:r>
        <w:rPr>
          <w:rFonts w:hint="eastAsia"/>
          <w:lang w:val="en-US" w:eastAsia="zh-CN"/>
        </w:rPr>
        <w:t>2-64</w:t>
      </w:r>
      <w:r>
        <w:rPr>
          <w:rFonts w:hint="default"/>
          <w:lang w:val="en-US" w:eastAsia="zh-CN"/>
        </w:rPr>
        <w:t xml:space="preserve"> </w:t>
      </w:r>
      <w:r>
        <w:rPr>
          <w:rFonts w:hint="eastAsia"/>
          <w:lang w:val="en-US" w:eastAsia="zh-CN"/>
        </w:rPr>
        <w:t>公共管理与公共服务用地一类</w:t>
      </w:r>
      <w:r>
        <w:rPr>
          <w:rFonts w:hint="default"/>
          <w:lang w:val="en-US" w:eastAsia="zh-CN"/>
        </w:rPr>
        <w:t>宗地面积修正说明表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530"/>
        <w:gridCol w:w="1286"/>
        <w:gridCol w:w="1343"/>
        <w:gridCol w:w="1492"/>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0"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30"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28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4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4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0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8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53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面积适中，对土地利用极为有利</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面积对土地利用较为有利</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面积对土地利用无不良影响</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面积较小，对土地利用有一定影响</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面积过小，对土地利用产生严重的影响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3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r>
        <w:rPr>
          <w:rFonts w:hint="default"/>
          <w:lang w:val="en-US" w:eastAsia="zh-CN"/>
        </w:rPr>
        <w:t>（</w:t>
      </w:r>
      <w:r>
        <w:rPr>
          <w:rFonts w:hint="eastAsia"/>
          <w:lang w:val="en-US" w:eastAsia="zh-CN"/>
        </w:rPr>
        <w:t>4</w:t>
      </w:r>
      <w:r>
        <w:rPr>
          <w:rFonts w:hint="default"/>
          <w:lang w:val="en-US" w:eastAsia="zh-CN"/>
        </w:rPr>
        <w:t>）宗地形状修正系数</w:t>
      </w:r>
    </w:p>
    <w:p>
      <w:pPr>
        <w:pStyle w:val="27"/>
        <w:bidi w:val="0"/>
        <w:rPr>
          <w:rFonts w:hint="default"/>
          <w:lang w:val="en-US" w:eastAsia="zh-CN"/>
        </w:rPr>
      </w:pPr>
      <w:r>
        <w:rPr>
          <w:rFonts w:hint="default"/>
          <w:lang w:val="en-US" w:eastAsia="zh-CN"/>
        </w:rPr>
        <w:t>表</w:t>
      </w:r>
      <w:r>
        <w:rPr>
          <w:rFonts w:hint="eastAsia"/>
          <w:lang w:val="en-US" w:eastAsia="zh-CN"/>
        </w:rPr>
        <w:t>2-65</w:t>
      </w:r>
      <w:r>
        <w:rPr>
          <w:rFonts w:hint="default"/>
          <w:lang w:val="en-US" w:eastAsia="zh-CN"/>
        </w:rPr>
        <w:t xml:space="preserve"> </w:t>
      </w:r>
      <w:r>
        <w:rPr>
          <w:rFonts w:hint="eastAsia"/>
          <w:lang w:val="en-US" w:eastAsia="zh-CN"/>
        </w:rPr>
        <w:t>公共管理与公共服务用地一类</w:t>
      </w:r>
      <w:r>
        <w:rPr>
          <w:rFonts w:hint="default"/>
          <w:lang w:val="en-US" w:eastAsia="zh-CN"/>
        </w:rPr>
        <w:t>宗地形状修正系数表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1380"/>
        <w:gridCol w:w="1363"/>
        <w:gridCol w:w="1278"/>
        <w:gridCol w:w="1501"/>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07"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380"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6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27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0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65"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007"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38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形状规则，对土地利用有利</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土地利用较为有利</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土地利用无不良影响</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形状不规则，对土地利用不利</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007"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38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r>
        <w:rPr>
          <w:rFonts w:hint="default"/>
          <w:lang w:val="en-US" w:eastAsia="zh-CN"/>
        </w:rPr>
        <w:t>（</w:t>
      </w:r>
      <w:r>
        <w:rPr>
          <w:rFonts w:hint="eastAsia"/>
          <w:lang w:val="en-US" w:eastAsia="zh-CN"/>
        </w:rPr>
        <w:t>5</w:t>
      </w:r>
      <w:r>
        <w:rPr>
          <w:rFonts w:hint="default"/>
          <w:lang w:val="en-US" w:eastAsia="zh-CN"/>
        </w:rPr>
        <w:t>）建筑物朝向修正系数</w:t>
      </w:r>
    </w:p>
    <w:p>
      <w:pPr>
        <w:pStyle w:val="27"/>
        <w:bidi w:val="0"/>
        <w:rPr>
          <w:rFonts w:hint="default"/>
          <w:lang w:val="en-US" w:eastAsia="zh-CN"/>
        </w:rPr>
      </w:pPr>
      <w:r>
        <w:rPr>
          <w:rFonts w:hint="default"/>
          <w:lang w:val="en-US" w:eastAsia="zh-CN"/>
        </w:rPr>
        <w:t>表</w:t>
      </w:r>
      <w:r>
        <w:rPr>
          <w:rFonts w:hint="eastAsia"/>
          <w:lang w:val="en-US" w:eastAsia="zh-CN"/>
        </w:rPr>
        <w:t>2-66</w:t>
      </w:r>
      <w:r>
        <w:rPr>
          <w:rFonts w:hint="default"/>
          <w:lang w:val="en-US" w:eastAsia="zh-CN"/>
        </w:rPr>
        <w:t xml:space="preserve"> </w:t>
      </w:r>
      <w:r>
        <w:rPr>
          <w:rFonts w:hint="eastAsia"/>
          <w:lang w:val="en-US" w:eastAsia="zh-CN"/>
        </w:rPr>
        <w:t>公共管理与公共服务用地一类</w:t>
      </w:r>
      <w:r>
        <w:rPr>
          <w:rFonts w:hint="default"/>
          <w:lang w:val="en-US" w:eastAsia="zh-CN"/>
        </w:rPr>
        <w:t>建筑物朝向修正系数表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1180"/>
        <w:gridCol w:w="1421"/>
        <w:gridCol w:w="1272"/>
        <w:gridCol w:w="1439"/>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9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指标标准说明</w:t>
            </w:r>
          </w:p>
        </w:tc>
        <w:tc>
          <w:tcPr>
            <w:tcW w:w="118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南</w:t>
            </w:r>
          </w:p>
        </w:tc>
        <w:tc>
          <w:tcPr>
            <w:tcW w:w="142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东南、西南</w:t>
            </w:r>
          </w:p>
        </w:tc>
        <w:tc>
          <w:tcPr>
            <w:tcW w:w="127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w:t>
            </w:r>
          </w:p>
        </w:tc>
        <w:tc>
          <w:tcPr>
            <w:tcW w:w="143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东北、西北</w:t>
            </w:r>
          </w:p>
        </w:tc>
        <w:tc>
          <w:tcPr>
            <w:tcW w:w="13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北、西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79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1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42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3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0.98</w:t>
            </w:r>
          </w:p>
        </w:tc>
        <w:tc>
          <w:tcPr>
            <w:tcW w:w="13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0.96</w:t>
            </w:r>
          </w:p>
        </w:tc>
      </w:tr>
    </w:tbl>
    <w:p>
      <w:pPr>
        <w:pStyle w:val="6"/>
        <w:bidi w:val="0"/>
        <w:rPr>
          <w:rFonts w:hint="default"/>
          <w:lang w:val="en-US" w:eastAsia="zh-CN"/>
        </w:rPr>
      </w:pPr>
      <w:r>
        <w:rPr>
          <w:rFonts w:hint="default"/>
          <w:lang w:val="en-US" w:eastAsia="zh-CN"/>
        </w:rPr>
        <w:t>（</w:t>
      </w:r>
      <w:r>
        <w:rPr>
          <w:rFonts w:hint="eastAsia"/>
          <w:lang w:val="en-US" w:eastAsia="zh-CN"/>
        </w:rPr>
        <w:t>6</w:t>
      </w:r>
      <w:r>
        <w:rPr>
          <w:rFonts w:hint="default"/>
          <w:lang w:val="en-US" w:eastAsia="zh-CN"/>
        </w:rPr>
        <w:t>）宗地开发程度修正系数</w:t>
      </w:r>
    </w:p>
    <w:p>
      <w:pPr>
        <w:bidi w:val="0"/>
        <w:rPr>
          <w:rFonts w:hint="default"/>
          <w:lang w:val="en-US" w:eastAsia="zh-CN"/>
        </w:rPr>
      </w:pPr>
      <w:r>
        <w:rPr>
          <w:rFonts w:hint="default"/>
          <w:lang w:val="en-US" w:eastAsia="zh-CN"/>
        </w:rPr>
        <w:t>随州市</w:t>
      </w:r>
      <w:r>
        <w:rPr>
          <w:rFonts w:hint="eastAsia"/>
          <w:lang w:val="en-US" w:eastAsia="zh-CN"/>
        </w:rPr>
        <w:t>城区</w:t>
      </w:r>
      <w:r>
        <w:rPr>
          <w:rFonts w:hint="default"/>
          <w:lang w:val="en-US" w:eastAsia="zh-CN"/>
        </w:rPr>
        <w:t>本次基准地价更新</w:t>
      </w:r>
      <w:r>
        <w:rPr>
          <w:rFonts w:hint="eastAsia"/>
          <w:lang w:val="en-US" w:eastAsia="zh-CN"/>
        </w:rPr>
        <w:t>公共管理与公共服务用地</w:t>
      </w:r>
      <w:r>
        <w:rPr>
          <w:rFonts w:hint="default"/>
          <w:lang w:val="en-US" w:eastAsia="zh-CN"/>
        </w:rPr>
        <w:t>设定的开发程度为红线外</w:t>
      </w:r>
      <w:r>
        <w:rPr>
          <w:rFonts w:hint="eastAsia"/>
          <w:lang w:val="en-US" w:eastAsia="zh-CN"/>
        </w:rPr>
        <w:t>“六通一平”</w:t>
      </w:r>
      <w:r>
        <w:rPr>
          <w:rFonts w:hint="default"/>
          <w:lang w:val="en-US" w:eastAsia="zh-CN"/>
        </w:rPr>
        <w:t>。若宗地基础设施配套程度没有达到该程度，利用基准地价来评估宗地地价时就应该减去相应的开发费用。若待估宗地开发程度超过了设定程度，在评估单位地价时应加上相应开发费用（土地平整费用视具体情况而定）。</w:t>
      </w:r>
    </w:p>
    <w:p>
      <w:pPr>
        <w:pStyle w:val="27"/>
        <w:bidi w:val="0"/>
        <w:rPr>
          <w:rFonts w:hint="default"/>
          <w:lang w:val="en-US" w:eastAsia="zh-CN"/>
        </w:rPr>
      </w:pPr>
      <w:r>
        <w:rPr>
          <w:rFonts w:hint="default"/>
          <w:lang w:val="en-US" w:eastAsia="zh-CN"/>
        </w:rPr>
        <w:t>表</w:t>
      </w:r>
      <w:r>
        <w:rPr>
          <w:rFonts w:hint="eastAsia"/>
          <w:lang w:val="en-US" w:eastAsia="zh-CN"/>
        </w:rPr>
        <w:t>2-67</w:t>
      </w:r>
      <w:r>
        <w:rPr>
          <w:rFonts w:hint="default"/>
          <w:lang w:val="en-US" w:eastAsia="zh-CN"/>
        </w:rPr>
        <w:t xml:space="preserve"> 开发程度修正值范围表</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right"/>
        <w:textAlignment w:val="auto"/>
        <w:outlineLvl w:val="9"/>
        <w:rPr>
          <w:rFonts w:hint="eastAsia" w:ascii="仿宋" w:hAnsi="仿宋" w:eastAsia="仿宋" w:cs="仿宋"/>
          <w:sz w:val="18"/>
        </w:rPr>
      </w:pPr>
      <w:r>
        <w:rPr>
          <w:rFonts w:hint="eastAsia" w:ascii="仿宋" w:hAnsi="仿宋" w:eastAsia="仿宋" w:cs="仿宋"/>
          <w:b/>
          <w:sz w:val="18"/>
        </w:rPr>
        <w:t>单位：元/m</w:t>
      </w:r>
      <w:r>
        <w:rPr>
          <w:rFonts w:hint="eastAsia" w:ascii="仿宋" w:hAnsi="仿宋" w:eastAsia="仿宋" w:cs="仿宋"/>
          <w:b/>
          <w:sz w:val="18"/>
          <w:vertAlign w:val="superscript"/>
        </w:rPr>
        <w:t>2</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7"/>
        <w:gridCol w:w="1033"/>
        <w:gridCol w:w="1034"/>
        <w:gridCol w:w="1356"/>
        <w:gridCol w:w="1356"/>
        <w:gridCol w:w="1033"/>
        <w:gridCol w:w="1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677"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开发程度</w:t>
            </w:r>
          </w:p>
        </w:tc>
        <w:tc>
          <w:tcPr>
            <w:tcW w:w="103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通路</w:t>
            </w:r>
          </w:p>
        </w:tc>
        <w:tc>
          <w:tcPr>
            <w:tcW w:w="1034"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通电</w:t>
            </w:r>
          </w:p>
        </w:tc>
        <w:tc>
          <w:tcPr>
            <w:tcW w:w="13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通上水</w:t>
            </w:r>
          </w:p>
        </w:tc>
        <w:tc>
          <w:tcPr>
            <w:tcW w:w="1356"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通下水</w:t>
            </w:r>
          </w:p>
        </w:tc>
        <w:tc>
          <w:tcPr>
            <w:tcW w:w="1033"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通讯</w:t>
            </w:r>
          </w:p>
        </w:tc>
        <w:tc>
          <w:tcPr>
            <w:tcW w:w="1033"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eastAsia" w:ascii="Times New Roman" w:hAnsi="Times New Roman" w:eastAsia="仿宋_GB2312" w:cs="Times New Roman"/>
                <w:b/>
                <w:bCs/>
                <w:i w:val="0"/>
                <w:iCs w:val="0"/>
                <w:color w:val="000000"/>
                <w:kern w:val="0"/>
                <w:sz w:val="21"/>
                <w:szCs w:val="21"/>
                <w:u w:val="none"/>
                <w:lang w:val="en-US" w:eastAsia="zh-CN" w:bidi="ar"/>
              </w:rPr>
            </w:pPr>
            <w:r>
              <w:rPr>
                <w:rFonts w:hint="eastAsia" w:ascii="Times New Roman" w:hAnsi="Times New Roman" w:eastAsia="仿宋_GB2312" w:cs="Times New Roman"/>
                <w:b/>
                <w:bCs/>
                <w:i w:val="0"/>
                <w:iCs w:val="0"/>
                <w:color w:val="000000"/>
                <w:kern w:val="0"/>
                <w:sz w:val="21"/>
                <w:szCs w:val="21"/>
                <w:u w:val="none"/>
                <w:lang w:val="en-US" w:eastAsia="zh-CN" w:bidi="ar"/>
              </w:rPr>
              <w:t>通气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677"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费用标准</w:t>
            </w:r>
          </w:p>
        </w:tc>
        <w:tc>
          <w:tcPr>
            <w:tcW w:w="103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30</w:t>
            </w:r>
          </w:p>
        </w:tc>
        <w:tc>
          <w:tcPr>
            <w:tcW w:w="1034"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3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3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03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c>
          <w:tcPr>
            <w:tcW w:w="103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15</w:t>
            </w:r>
          </w:p>
        </w:tc>
      </w:tr>
    </w:tbl>
    <w:p>
      <w:pPr>
        <w:rPr>
          <w:rFonts w:hint="default"/>
          <w:lang w:val="en-US" w:eastAsia="zh-CN"/>
        </w:rPr>
      </w:pPr>
    </w:p>
    <w:p>
      <w:pPr>
        <w:rPr>
          <w:rFonts w:hint="default"/>
          <w:lang w:val="en-US" w:eastAsia="zh-CN"/>
        </w:rPr>
      </w:pPr>
      <w:r>
        <w:rPr>
          <w:rFonts w:hint="default"/>
          <w:lang w:val="en-US" w:eastAsia="zh-CN"/>
        </w:rPr>
        <w:br w:type="page"/>
      </w:r>
    </w:p>
    <w:p>
      <w:pPr>
        <w:pStyle w:val="4"/>
        <w:bidi w:val="0"/>
        <w:rPr>
          <w:rFonts w:hint="eastAsia"/>
        </w:rPr>
      </w:pPr>
      <w:bookmarkStart w:id="34" w:name="_Toc32354"/>
      <w:r>
        <w:rPr>
          <w:rFonts w:hint="eastAsia"/>
          <w:lang w:val="en-US" w:eastAsia="zh-CN"/>
        </w:rPr>
        <w:t>（五）公共管理与公共服务用地二类</w:t>
      </w:r>
      <w:r>
        <w:rPr>
          <w:rFonts w:hint="eastAsia"/>
        </w:rPr>
        <w:t>基准地价修正体系</w:t>
      </w:r>
      <w:bookmarkEnd w:id="34"/>
    </w:p>
    <w:p>
      <w:pPr>
        <w:pStyle w:val="5"/>
        <w:bidi w:val="0"/>
        <w:rPr>
          <w:rFonts w:hint="eastAsia"/>
          <w:lang w:val="en-US" w:eastAsia="zh-CN"/>
        </w:rPr>
      </w:pPr>
      <w:bookmarkStart w:id="35" w:name="_Toc24169"/>
      <w:r>
        <w:rPr>
          <w:rFonts w:hint="eastAsia"/>
          <w:lang w:val="en-US" w:eastAsia="zh-CN"/>
        </w:rPr>
        <w:t>1.公共管理与公共服务用地二类</w:t>
      </w:r>
      <w:r>
        <w:rPr>
          <w:rFonts w:hint="eastAsia"/>
        </w:rPr>
        <w:t>基准地价</w:t>
      </w:r>
      <w:r>
        <w:rPr>
          <w:rFonts w:hint="eastAsia"/>
          <w:lang w:val="en-US" w:eastAsia="zh-CN"/>
        </w:rPr>
        <w:t>区域因素修正体系</w:t>
      </w:r>
      <w:bookmarkEnd w:id="35"/>
    </w:p>
    <w:p>
      <w:pPr>
        <w:pStyle w:val="6"/>
        <w:bidi w:val="0"/>
      </w:pPr>
      <w:r>
        <w:rPr>
          <w:rFonts w:hint="eastAsia"/>
        </w:rPr>
        <w:t>（</w:t>
      </w:r>
      <w:r>
        <w:rPr>
          <w:rFonts w:hint="eastAsia"/>
          <w:lang w:val="en-US" w:eastAsia="zh-CN"/>
        </w:rPr>
        <w:t>1</w:t>
      </w:r>
      <w:r>
        <w:rPr>
          <w:rFonts w:hint="eastAsia"/>
        </w:rPr>
        <w:t>）Ⅰ级</w:t>
      </w:r>
      <w:r>
        <w:rPr>
          <w:rFonts w:hint="eastAsia"/>
          <w:lang w:val="en-US" w:eastAsia="zh-CN"/>
        </w:rPr>
        <w:t>公共管理与公共服务用地二类</w:t>
      </w:r>
      <w:r>
        <w:rPr>
          <w:rFonts w:hint="eastAsia"/>
        </w:rPr>
        <w:t>宗地地价区域因素修正系数</w:t>
      </w:r>
    </w:p>
    <w:p>
      <w:pPr>
        <w:pStyle w:val="27"/>
        <w:bidi w:val="0"/>
        <w:rPr>
          <w:rFonts w:hint="eastAsia"/>
          <w:lang w:val="en-US" w:eastAsia="zh-CN"/>
        </w:rPr>
      </w:pPr>
      <w:r>
        <w:rPr>
          <w:rFonts w:hint="eastAsia"/>
          <w:lang w:val="en-US" w:eastAsia="zh-CN"/>
        </w:rPr>
        <w:t>表2-68 Ⅰ级公共管理与公共服务用地二类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428"/>
        <w:gridCol w:w="1296"/>
        <w:gridCol w:w="1296"/>
        <w:gridCol w:w="1296"/>
        <w:gridCol w:w="1296"/>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2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≤100或(200,400]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(400,600]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(200,300]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≤200或(300,400]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(400,500]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(500,700]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(1000,2000]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≤1000或(2000,3000]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(4000,6000]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表2-69 Ⅰ级公共管理与公共服务用地二类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1003"/>
        <w:gridCol w:w="1004"/>
        <w:gridCol w:w="1004"/>
        <w:gridCol w:w="1004"/>
        <w:gridCol w:w="1052"/>
        <w:gridCol w:w="1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客运站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-0.0322</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2</w:t>
      </w:r>
      <w:r>
        <w:rPr>
          <w:rFonts w:hint="eastAsia"/>
        </w:rPr>
        <w:t>）</w:t>
      </w:r>
      <w:r>
        <w:rPr>
          <w:rFonts w:hint="eastAsia"/>
          <w:lang w:val="en-US" w:eastAsia="zh-CN"/>
        </w:rPr>
        <w:t>Ⅱ</w:t>
      </w:r>
      <w:r>
        <w:rPr>
          <w:rFonts w:hint="eastAsia"/>
        </w:rPr>
        <w:t>级</w:t>
      </w:r>
      <w:r>
        <w:rPr>
          <w:rFonts w:hint="eastAsia"/>
          <w:lang w:val="en-US" w:eastAsia="zh-CN"/>
        </w:rPr>
        <w:t>公共管理与公共服务用地二类</w:t>
      </w:r>
      <w:r>
        <w:rPr>
          <w:rFonts w:hint="eastAsia"/>
        </w:rPr>
        <w:t>宗地地价区域因素修正系数</w:t>
      </w:r>
    </w:p>
    <w:p>
      <w:pPr>
        <w:pStyle w:val="27"/>
        <w:bidi w:val="0"/>
        <w:rPr>
          <w:rFonts w:hint="eastAsia"/>
          <w:lang w:val="en-US" w:eastAsia="zh-CN"/>
        </w:rPr>
      </w:pPr>
      <w:r>
        <w:rPr>
          <w:rFonts w:hint="eastAsia"/>
          <w:lang w:val="en-US" w:eastAsia="zh-CN"/>
        </w:rPr>
        <w:t>表2-70 Ⅱ级公共管理与公共服务用地二类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428"/>
        <w:gridCol w:w="1296"/>
        <w:gridCol w:w="1296"/>
        <w:gridCol w:w="1296"/>
        <w:gridCol w:w="1296"/>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2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≤100或(400，600]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(200,500]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≤200或(500,800]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(1100,1400]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(1000,3000]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≤1000或(3000,4000]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(4000,5000]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(5000,7000]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表2-71 Ⅱ级公共管理与公共服务用地二类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0.1841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0.0400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0.0638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客运站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0.2158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0.0469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0.1581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0.0343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-0.0339</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3</w:t>
      </w:r>
      <w:r>
        <w:rPr>
          <w:rFonts w:hint="eastAsia"/>
        </w:rPr>
        <w:t>）</w:t>
      </w:r>
      <w:r>
        <w:rPr>
          <w:rFonts w:hint="eastAsia"/>
          <w:lang w:val="en-US" w:eastAsia="zh-CN"/>
        </w:rPr>
        <w:t>Ⅲ</w:t>
      </w:r>
      <w:r>
        <w:rPr>
          <w:rFonts w:hint="eastAsia"/>
        </w:rPr>
        <w:t>级</w:t>
      </w:r>
      <w:r>
        <w:rPr>
          <w:rFonts w:hint="eastAsia"/>
          <w:lang w:val="en-US" w:eastAsia="zh-CN"/>
        </w:rPr>
        <w:t>公共管理与公共服务用地二类</w:t>
      </w:r>
      <w:r>
        <w:rPr>
          <w:rFonts w:hint="eastAsia"/>
        </w:rPr>
        <w:t>宗地地价区域因素修正系数</w:t>
      </w:r>
    </w:p>
    <w:p>
      <w:pPr>
        <w:pStyle w:val="27"/>
        <w:bidi w:val="0"/>
        <w:rPr>
          <w:rFonts w:hint="eastAsia"/>
          <w:lang w:val="en-US" w:eastAsia="zh-CN"/>
        </w:rPr>
      </w:pPr>
      <w:r>
        <w:rPr>
          <w:rFonts w:hint="eastAsia"/>
          <w:lang w:val="en-US" w:eastAsia="zh-CN"/>
        </w:rPr>
        <w:t>表2-72 Ⅲ级公共管理与公共服务用地二类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428"/>
        <w:gridCol w:w="1296"/>
        <w:gridCol w:w="1296"/>
        <w:gridCol w:w="1296"/>
        <w:gridCol w:w="1296"/>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2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(100,600]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≤100或(600,800]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(800,1000]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≤200或(800,1200]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(1200,1600]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(1600,2000]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(1000,4000]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≤1000或(4000,5000]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(5000,6000]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(6000,8000]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表2-73 Ⅲ级公共管理与公共服务用地二类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0.1841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-0.0228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0.0638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-0.0079</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客运站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0.0055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0.2158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0.0436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-0.0268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0.1581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0.0319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-0.0392</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4</w:t>
      </w:r>
      <w:r>
        <w:rPr>
          <w:rFonts w:hint="eastAsia"/>
        </w:rPr>
        <w:t>）</w:t>
      </w:r>
      <w:r>
        <w:rPr>
          <w:rFonts w:hint="eastAsia"/>
          <w:lang w:val="en-US" w:eastAsia="zh-CN"/>
        </w:rPr>
        <w:t>IV</w:t>
      </w:r>
      <w:r>
        <w:rPr>
          <w:rFonts w:hint="eastAsia"/>
        </w:rPr>
        <w:t>级</w:t>
      </w:r>
      <w:r>
        <w:rPr>
          <w:rFonts w:hint="eastAsia"/>
          <w:lang w:val="en-US" w:eastAsia="zh-CN"/>
        </w:rPr>
        <w:t>公共管理与公共服务用地二类</w:t>
      </w:r>
      <w:r>
        <w:rPr>
          <w:rFonts w:hint="eastAsia"/>
        </w:rPr>
        <w:t>宗地地价区域因素修正系数</w:t>
      </w:r>
    </w:p>
    <w:p>
      <w:pPr>
        <w:pStyle w:val="27"/>
        <w:bidi w:val="0"/>
        <w:rPr>
          <w:rFonts w:hint="eastAsia"/>
          <w:lang w:val="en-US" w:eastAsia="zh-CN"/>
        </w:rPr>
      </w:pPr>
      <w:r>
        <w:rPr>
          <w:rFonts w:hint="eastAsia"/>
          <w:lang w:val="en-US" w:eastAsia="zh-CN"/>
        </w:rPr>
        <w:t>表2-74 IV级公共管理与公共服务用地二类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428"/>
        <w:gridCol w:w="1296"/>
        <w:gridCol w:w="1296"/>
        <w:gridCol w:w="1296"/>
        <w:gridCol w:w="1296"/>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2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(100,800]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≤100或(800,1000]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(1000,1200]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≤200或(1000,2000]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(2000,3000]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(3000,4000]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(2000,4000]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≤2000或(4000,6000]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(6000,8000]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(8000,10000]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表2-75 IV级公共管理与公共服务用地二类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0.1841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0.0466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0.0233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0.0638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客运站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0.0167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0.0084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0.0137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0.0109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0.2158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0.0547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0.0273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0.1581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0.0400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-0.0354</w:t>
            </w:r>
          </w:p>
        </w:tc>
      </w:tr>
    </w:tbl>
    <w:p>
      <w:pPr>
        <w:rPr>
          <w:rFonts w:hint="default"/>
          <w:lang w:val="en-US" w:eastAsia="zh-CN"/>
        </w:rPr>
      </w:pPr>
      <w:r>
        <w:rPr>
          <w:rFonts w:hint="default"/>
          <w:lang w:val="en-US" w:eastAsia="zh-CN"/>
        </w:rPr>
        <w:br w:type="page"/>
      </w:r>
    </w:p>
    <w:p>
      <w:pPr>
        <w:pStyle w:val="6"/>
        <w:bidi w:val="0"/>
      </w:pPr>
      <w:r>
        <w:rPr>
          <w:rFonts w:hint="eastAsia"/>
        </w:rPr>
        <w:t>（</w:t>
      </w:r>
      <w:r>
        <w:rPr>
          <w:rFonts w:hint="eastAsia"/>
          <w:lang w:val="en-US" w:eastAsia="zh-CN"/>
        </w:rPr>
        <w:t>5</w:t>
      </w:r>
      <w:r>
        <w:rPr>
          <w:rFonts w:hint="eastAsia"/>
        </w:rPr>
        <w:t>）</w:t>
      </w:r>
      <w:r>
        <w:rPr>
          <w:rFonts w:hint="eastAsia"/>
          <w:lang w:val="en-US" w:eastAsia="zh-CN"/>
        </w:rPr>
        <w:t>Ⅴ</w:t>
      </w:r>
      <w:r>
        <w:rPr>
          <w:rFonts w:hint="eastAsia"/>
        </w:rPr>
        <w:t>级</w:t>
      </w:r>
      <w:r>
        <w:rPr>
          <w:rFonts w:hint="eastAsia"/>
          <w:lang w:val="en-US" w:eastAsia="zh-CN"/>
        </w:rPr>
        <w:t>公共管理与公共服务用地二类</w:t>
      </w:r>
      <w:r>
        <w:rPr>
          <w:rFonts w:hint="eastAsia"/>
        </w:rPr>
        <w:t>宗地地价区域因素修正系数</w:t>
      </w:r>
    </w:p>
    <w:p>
      <w:pPr>
        <w:pStyle w:val="27"/>
        <w:bidi w:val="0"/>
        <w:rPr>
          <w:rFonts w:hint="eastAsia"/>
          <w:lang w:val="en-US" w:eastAsia="zh-CN"/>
        </w:rPr>
      </w:pPr>
      <w:r>
        <w:rPr>
          <w:rFonts w:hint="eastAsia"/>
          <w:lang w:val="en-US" w:eastAsia="zh-CN"/>
        </w:rPr>
        <w:t>表2-76 Ⅴ级公共管理与公共服务用地二类</w:t>
      </w:r>
      <w:r>
        <w:rPr>
          <w:rFonts w:hint="eastAsia"/>
        </w:rPr>
        <w:t>宗地地价区域因素修正系数指标说明表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428"/>
        <w:gridCol w:w="1296"/>
        <w:gridCol w:w="1296"/>
        <w:gridCol w:w="1296"/>
        <w:gridCol w:w="1296"/>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b/>
                <w:bCs/>
                <w:sz w:val="18"/>
              </w:rPr>
            </w:pPr>
            <w:r>
              <w:rPr>
                <w:rFonts w:hint="eastAsia"/>
                <w:b/>
                <w:bCs/>
                <w:sz w:val="18"/>
                <w:lang w:val="en-US" w:eastAsia="zh-CN"/>
              </w:rPr>
              <w:t>因素</w:t>
            </w:r>
          </w:p>
        </w:tc>
        <w:tc>
          <w:tcPr>
            <w:tcW w:w="1428"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因子</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较优</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一般</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较劣</w:t>
            </w:r>
          </w:p>
        </w:tc>
        <w:tc>
          <w:tcPr>
            <w:tcW w:w="1296"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道路通达度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混合型主干道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生活型次干道或交通型主干道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交通型次干道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支路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距公交站点距离(米）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(100,1000]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≤100或(1000,1200]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(1200,1400]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(1400,1600]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距客运站距离(米）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(200,1200]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≤200或(1200,2200]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(2200,3200]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(3200,4200]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距火车站距离(米）</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(4000,6000]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≤4000或(4000,6000]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(6000,10000]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(10000,15000]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基本设施状况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供热状况（%）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&gt;95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(85,90]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(80,85]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供气状况（%）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[95,98)</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[93,95)</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[90,93)</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&lt;90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排水状况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雨污分流制，排水通畅，无积水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雨污分流制，排水通畅，遇暴雨有少量积水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雨污合流制，排水通畅</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雨污合流制，遇暴雨严重积水</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自然排放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环境条件</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地形状况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地势平坦</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较平坦，对建筑物无影响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较平坦，对建筑物影响较小</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不平坦，需考虑坡度影响</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不平坦，需经平整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发展潜力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城市功能规划分区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综合服务区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居住生活区、商业商务区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绿地休闲区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工业发展区、物流仓储区、交通枢纽区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textAlignment w:val="auto"/>
              <w:rPr>
                <w:rFonts w:hint="eastAsia"/>
                <w:sz w:val="18"/>
              </w:rPr>
            </w:pPr>
            <w:r>
              <w:rPr>
                <w:rFonts w:hint="eastAsia"/>
                <w:sz w:val="18"/>
                <w:lang w:val="en-US" w:eastAsia="zh-CN"/>
              </w:rPr>
              <w:t>战略预留区</w:t>
            </w:r>
          </w:p>
        </w:tc>
      </w:tr>
    </w:tbl>
    <w:p>
      <w:pPr>
        <w:pStyle w:val="27"/>
        <w:bidi w:val="0"/>
        <w:rPr>
          <w:rFonts w:hint="eastAsia"/>
          <w:lang w:val="en-US" w:eastAsia="zh-CN"/>
        </w:rPr>
      </w:pPr>
      <w:r>
        <w:rPr>
          <w:rFonts w:hint="eastAsia"/>
          <w:lang w:val="en-US" w:eastAsia="zh-CN"/>
        </w:rPr>
        <w:t>表2-77 Ⅴ级公共管理与公共服务用地二类</w:t>
      </w:r>
      <w:r>
        <w:rPr>
          <w:rFonts w:hint="eastAsia"/>
        </w:rPr>
        <w:t>宗地地价区域</w:t>
      </w:r>
      <w:r>
        <w:rPr>
          <w:rFonts w:hint="eastAsia"/>
          <w:lang w:val="en-US" w:eastAsia="zh-CN"/>
        </w:rPr>
        <w:t>因素</w:t>
      </w:r>
      <w:r>
        <w:rPr>
          <w:rFonts w:hint="eastAsia"/>
        </w:rPr>
        <w:t>修正系数表</w:t>
      </w:r>
    </w:p>
    <w:tbl>
      <w:tblPr>
        <w:tblStyle w:val="2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6"/>
        <w:gridCol w:w="1656"/>
        <w:gridCol w:w="855"/>
        <w:gridCol w:w="1034"/>
        <w:gridCol w:w="1034"/>
        <w:gridCol w:w="1034"/>
        <w:gridCol w:w="1081"/>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b/>
                <w:bCs/>
                <w:sz w:val="18"/>
              </w:rPr>
            </w:pPr>
            <w:r>
              <w:rPr>
                <w:rFonts w:hint="eastAsia"/>
                <w:b/>
                <w:bCs/>
                <w:sz w:val="18"/>
                <w:lang w:val="en-US" w:eastAsia="zh-CN"/>
              </w:rPr>
              <w:t>因素</w:t>
            </w:r>
          </w:p>
        </w:tc>
        <w:tc>
          <w:tcPr>
            <w:tcW w:w="108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因子</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较优</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一般</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较劣</w:t>
            </w:r>
          </w:p>
        </w:tc>
        <w:tc>
          <w:tcPr>
            <w:tcW w:w="1125" w:type="dxa"/>
            <w:tcBorders>
              <w:top w:val="single" w:color="000000" w:sz="4" w:space="0"/>
              <w:left w:val="single" w:color="000000" w:sz="4" w:space="0"/>
              <w:bottom w:val="single" w:color="000000" w:sz="4" w:space="0"/>
              <w:right w:val="single" w:color="000000" w:sz="4" w:space="0"/>
            </w:tcBorders>
            <w:shd w:val="clear" w:color="auto" w:fill="BFBFBF"/>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b/>
                <w:bCs/>
                <w:sz w:val="18"/>
              </w:rPr>
            </w:pPr>
            <w:r>
              <w:rPr>
                <w:rFonts w:hint="eastAsia"/>
                <w:b/>
                <w:bCs/>
                <w:sz w:val="18"/>
                <w:lang w:val="en-US" w:eastAsia="zh-CN"/>
              </w:rPr>
              <w:t>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交通条件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道路通达度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0.1841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-0.0207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公交便捷度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0.0638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客运站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0.0661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-0.0074</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火车站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0.0542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-0.0061</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基本设施状况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供气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0.0859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排水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0.086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-0.0097</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环境条件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地形状况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0.2158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-0.0242</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发展潜力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城市功能规划分区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keepNext w:val="0"/>
              <w:keepLines w:val="0"/>
              <w:pageBreakBefore w:val="0"/>
              <w:widowControl/>
              <w:kinsoku/>
              <w:wordWrap/>
              <w:overflowPunct/>
              <w:topLinePunct w:val="0"/>
              <w:autoSpaceDE/>
              <w:autoSpaceDN/>
              <w:bidi w:val="0"/>
              <w:adjustRightInd w:val="0"/>
              <w:snapToGrid w:val="0"/>
              <w:jc w:val="center"/>
              <w:textAlignment w:val="auto"/>
              <w:rPr>
                <w:rFonts w:hint="eastAsia"/>
                <w:sz w:val="18"/>
              </w:rPr>
            </w:pPr>
            <w:r>
              <w:rPr>
                <w:rFonts w:hint="eastAsia"/>
                <w:sz w:val="18"/>
                <w:lang w:val="en-US" w:eastAsia="zh-CN"/>
              </w:rPr>
              <w:t>0.1581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0.0355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-0.0178</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26"/>
              <w:bidi w:val="0"/>
              <w:jc w:val="center"/>
              <w:rPr>
                <w:rFonts w:hint="eastAsia"/>
                <w:sz w:val="18"/>
              </w:rPr>
            </w:pPr>
            <w:r>
              <w:rPr>
                <w:rFonts w:hint="eastAsia"/>
                <w:sz w:val="18"/>
                <w:lang w:val="en-US" w:eastAsia="zh-CN"/>
              </w:rPr>
              <w:t>-0.0355</w:t>
            </w:r>
          </w:p>
        </w:tc>
      </w:tr>
    </w:tbl>
    <w:p>
      <w:pPr>
        <w:rPr>
          <w:rFonts w:hint="default"/>
          <w:lang w:val="en-US" w:eastAsia="zh-CN"/>
        </w:rPr>
      </w:pPr>
      <w:r>
        <w:rPr>
          <w:rFonts w:hint="default"/>
          <w:lang w:val="en-US" w:eastAsia="zh-CN"/>
        </w:rPr>
        <w:br w:type="page"/>
      </w:r>
    </w:p>
    <w:p>
      <w:pPr>
        <w:pStyle w:val="5"/>
        <w:bidi w:val="0"/>
        <w:rPr>
          <w:rFonts w:hint="eastAsia"/>
        </w:rPr>
      </w:pPr>
      <w:bookmarkStart w:id="36" w:name="_Toc12656"/>
      <w:r>
        <w:rPr>
          <w:rFonts w:hint="eastAsia"/>
          <w:lang w:val="en-US" w:eastAsia="zh-CN"/>
        </w:rPr>
        <w:t>2.公共管理与公共服务用地二类</w:t>
      </w:r>
      <w:r>
        <w:rPr>
          <w:rFonts w:hint="eastAsia"/>
        </w:rPr>
        <w:t>基准地价个别因素修正体系</w:t>
      </w:r>
      <w:bookmarkEnd w:id="36"/>
    </w:p>
    <w:p>
      <w:pPr>
        <w:pStyle w:val="6"/>
        <w:bidi w:val="0"/>
        <w:rPr>
          <w:rFonts w:hint="default"/>
          <w:lang w:val="en-US" w:eastAsia="zh-CN"/>
        </w:rPr>
      </w:pPr>
      <w:r>
        <w:rPr>
          <w:rFonts w:hint="default"/>
          <w:lang w:val="en-US" w:eastAsia="zh-CN"/>
        </w:rPr>
        <w:t>（</w:t>
      </w:r>
      <w:r>
        <w:rPr>
          <w:rFonts w:hint="eastAsia"/>
          <w:lang w:val="en-US" w:eastAsia="zh-CN"/>
        </w:rPr>
        <w:t>1</w:t>
      </w:r>
      <w:r>
        <w:rPr>
          <w:rFonts w:hint="default"/>
          <w:lang w:val="en-US" w:eastAsia="zh-CN"/>
        </w:rPr>
        <w:t>）使用年期修正系数</w:t>
      </w:r>
    </w:p>
    <w:p>
      <w:pPr>
        <w:pStyle w:val="27"/>
        <w:bidi w:val="0"/>
        <w:rPr>
          <w:rFonts w:hint="eastAsia"/>
          <w:lang w:val="en-US" w:eastAsia="zh-CN"/>
        </w:rPr>
      </w:pPr>
      <w:r>
        <w:rPr>
          <w:rFonts w:hint="default"/>
          <w:lang w:val="en-US" w:eastAsia="zh-CN"/>
        </w:rPr>
        <w:t>表</w:t>
      </w:r>
      <w:r>
        <w:rPr>
          <w:rFonts w:hint="eastAsia"/>
          <w:lang w:val="en-US" w:eastAsia="zh-CN"/>
        </w:rPr>
        <w:t>2-78</w:t>
      </w:r>
      <w:r>
        <w:rPr>
          <w:rFonts w:hint="default"/>
          <w:lang w:val="en-US" w:eastAsia="zh-CN"/>
        </w:rPr>
        <w:t xml:space="preserve"> </w:t>
      </w:r>
      <w:r>
        <w:rPr>
          <w:rFonts w:hint="eastAsia"/>
          <w:lang w:val="en-US" w:eastAsia="zh-CN"/>
        </w:rPr>
        <w:t>公共管理与公共服务用地二类</w:t>
      </w:r>
      <w:r>
        <w:rPr>
          <w:rFonts w:hint="default"/>
          <w:lang w:val="en-US" w:eastAsia="zh-CN"/>
        </w:rPr>
        <w:t>使用年期修正系数表</w:t>
      </w:r>
      <w:r>
        <w:rPr>
          <w:rFonts w:hint="eastAsia"/>
          <w:lang w:val="en-US" w:eastAsia="zh-CN"/>
        </w:rPr>
        <w:t>（还原率=3.99%）</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80"/>
        <w:gridCol w:w="746"/>
        <w:gridCol w:w="745"/>
        <w:gridCol w:w="746"/>
        <w:gridCol w:w="746"/>
        <w:gridCol w:w="745"/>
        <w:gridCol w:w="746"/>
        <w:gridCol w:w="745"/>
        <w:gridCol w:w="746"/>
        <w:gridCol w:w="745"/>
        <w:gridCol w:w="7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0.0447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0.0877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0.129</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0.1687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0.2069</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0.2437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0.279</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0.313</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0.3457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19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0.4073</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0.4364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0.4643</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0.4912</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0.517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0.5419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0.5658</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0.5888</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0.6109</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29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0.6525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0.6722</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0.6911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0.7093</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0.7267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0.7435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0.7597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0.7752</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0.7902</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39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0.8184</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0.8317</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0.8444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0.8567</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0.8685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0.8799</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0.8908</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0.9013</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0.9114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使用年期</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41</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42</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43</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44</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45</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46</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47</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48</w:t>
            </w:r>
          </w:p>
        </w:tc>
        <w:tc>
          <w:tcPr>
            <w:tcW w:w="745"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49</w:t>
            </w:r>
          </w:p>
        </w:tc>
        <w:tc>
          <w:tcPr>
            <w:tcW w:w="746" w:type="dxa"/>
            <w:tcBorders>
              <w:top w:val="single" w:color="000000" w:sz="4" w:space="0"/>
              <w:left w:val="single" w:color="000000" w:sz="4" w:space="0"/>
              <w:bottom w:val="single" w:color="000000" w:sz="4" w:space="0"/>
              <w:right w:val="single" w:color="000000"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仿宋_GB2312" w:cs="仿宋"/>
                <w:b/>
                <w:bCs/>
                <w:i w:val="0"/>
                <w:iCs w:val="0"/>
                <w:color w:val="000000"/>
                <w:kern w:val="0"/>
                <w:sz w:val="18"/>
                <w:szCs w:val="18"/>
                <w:u w:val="none"/>
                <w:lang w:val="en-US" w:eastAsia="zh-CN" w:bidi="ar"/>
              </w:rPr>
              <w:t>修正系数</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0.9305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0.9395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0.9481</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0.9564</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0.9644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0.9721</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0.9795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0.9866</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0.9934</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仿宋"/>
                <w:b/>
                <w:bCs/>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1.0000 </w:t>
            </w:r>
          </w:p>
        </w:tc>
      </w:tr>
    </w:tbl>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sz w:val="18"/>
          <w:lang w:val="en-US" w:eastAsia="zh-CN"/>
        </w:rPr>
      </w:pPr>
      <w:r>
        <w:rPr>
          <w:rFonts w:hint="default"/>
          <w:sz w:val="18"/>
          <w:lang w:val="en-US" w:eastAsia="zh-CN"/>
        </w:rPr>
        <w:t>注：（1）使用年期为剩余使用年期，其值为非整数时按照要求折算成年。</w:t>
      </w:r>
    </w:p>
    <w:p>
      <w:pPr>
        <w:pStyle w:val="6"/>
        <w:bidi w:val="0"/>
        <w:rPr>
          <w:rFonts w:hint="default"/>
          <w:lang w:val="en-US" w:eastAsia="zh-CN"/>
        </w:rPr>
      </w:pPr>
      <w:r>
        <w:rPr>
          <w:rFonts w:hint="default"/>
          <w:lang w:val="en-US" w:eastAsia="zh-CN"/>
        </w:rPr>
        <w:t>（</w:t>
      </w:r>
      <w:r>
        <w:rPr>
          <w:rFonts w:hint="eastAsia"/>
          <w:lang w:val="en-US" w:eastAsia="zh-CN"/>
        </w:rPr>
        <w:t>2</w:t>
      </w:r>
      <w:r>
        <w:rPr>
          <w:rFonts w:hint="default"/>
          <w:lang w:val="en-US" w:eastAsia="zh-CN"/>
        </w:rPr>
        <w:t>）宗地面积修正系数</w:t>
      </w:r>
    </w:p>
    <w:p>
      <w:pPr>
        <w:pStyle w:val="27"/>
        <w:bidi w:val="0"/>
        <w:rPr>
          <w:rFonts w:hint="default"/>
          <w:lang w:val="en-US" w:eastAsia="zh-CN"/>
        </w:rPr>
      </w:pPr>
      <w:r>
        <w:rPr>
          <w:rFonts w:hint="default"/>
          <w:lang w:val="en-US" w:eastAsia="zh-CN"/>
        </w:rPr>
        <w:t>表</w:t>
      </w:r>
      <w:r>
        <w:rPr>
          <w:rFonts w:hint="eastAsia"/>
          <w:lang w:val="en-US" w:eastAsia="zh-CN"/>
        </w:rPr>
        <w:t>2-79</w:t>
      </w:r>
      <w:r>
        <w:rPr>
          <w:rFonts w:hint="default"/>
          <w:lang w:val="en-US" w:eastAsia="zh-CN"/>
        </w:rPr>
        <w:t xml:space="preserve"> </w:t>
      </w:r>
      <w:r>
        <w:rPr>
          <w:rFonts w:hint="eastAsia"/>
          <w:lang w:val="en-US" w:eastAsia="zh-CN"/>
        </w:rPr>
        <w:t>公共管理与公共服务用地二类</w:t>
      </w:r>
      <w:r>
        <w:rPr>
          <w:rFonts w:hint="default"/>
          <w:lang w:val="en-US" w:eastAsia="zh-CN"/>
        </w:rPr>
        <w:t>宗地面积修正说明表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530"/>
        <w:gridCol w:w="1286"/>
        <w:gridCol w:w="1343"/>
        <w:gridCol w:w="1492"/>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0"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530"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28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34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49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0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8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53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面积适中，对土地利用极为有利</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面积对土地利用较为有利</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面积对土地利用无不良影响</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面积较小，对土地利用有一定影响</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面积过小，对土地利用产生严重的影响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80"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53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28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34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9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0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r>
        <w:rPr>
          <w:rFonts w:hint="default"/>
          <w:lang w:val="en-US" w:eastAsia="zh-CN"/>
        </w:rPr>
        <w:t>（</w:t>
      </w:r>
      <w:r>
        <w:rPr>
          <w:rFonts w:hint="eastAsia"/>
          <w:lang w:val="en-US" w:eastAsia="zh-CN"/>
        </w:rPr>
        <w:t>3</w:t>
      </w:r>
      <w:r>
        <w:rPr>
          <w:rFonts w:hint="default"/>
          <w:lang w:val="en-US" w:eastAsia="zh-CN"/>
        </w:rPr>
        <w:t>）宗地形状修正系数</w:t>
      </w:r>
    </w:p>
    <w:p>
      <w:pPr>
        <w:pStyle w:val="27"/>
        <w:bidi w:val="0"/>
        <w:rPr>
          <w:rFonts w:hint="default"/>
          <w:lang w:val="en-US" w:eastAsia="zh-CN"/>
        </w:rPr>
      </w:pPr>
      <w:r>
        <w:rPr>
          <w:rFonts w:hint="default"/>
          <w:lang w:val="en-US" w:eastAsia="zh-CN"/>
        </w:rPr>
        <w:t>表</w:t>
      </w:r>
      <w:r>
        <w:rPr>
          <w:rFonts w:hint="eastAsia"/>
          <w:lang w:val="en-US" w:eastAsia="zh-CN"/>
        </w:rPr>
        <w:t>2-80</w:t>
      </w:r>
      <w:r>
        <w:rPr>
          <w:rFonts w:hint="default"/>
          <w:lang w:val="en-US" w:eastAsia="zh-CN"/>
        </w:rPr>
        <w:t xml:space="preserve"> </w:t>
      </w:r>
      <w:r>
        <w:rPr>
          <w:rFonts w:hint="eastAsia"/>
          <w:lang w:val="en-US" w:eastAsia="zh-CN"/>
        </w:rPr>
        <w:t>公共管理与公共服务用地二类</w:t>
      </w:r>
      <w:r>
        <w:rPr>
          <w:rFonts w:hint="default"/>
          <w:lang w:val="en-US" w:eastAsia="zh-CN"/>
        </w:rPr>
        <w:t>宗地形状修正系数表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1380"/>
        <w:gridCol w:w="1363"/>
        <w:gridCol w:w="1278"/>
        <w:gridCol w:w="1501"/>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07" w:type="dxa"/>
            <w:tcBorders>
              <w:righ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w:t>
            </w:r>
          </w:p>
        </w:tc>
        <w:tc>
          <w:tcPr>
            <w:tcW w:w="1380" w:type="dxa"/>
            <w:tcBorders>
              <w:left w:val="single" w:color="auto" w:sz="6"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优</w:t>
            </w:r>
          </w:p>
        </w:tc>
        <w:tc>
          <w:tcPr>
            <w:tcW w:w="1363"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较优</w:t>
            </w:r>
          </w:p>
        </w:tc>
        <w:tc>
          <w:tcPr>
            <w:tcW w:w="1278"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一般</w:t>
            </w:r>
          </w:p>
        </w:tc>
        <w:tc>
          <w:tcPr>
            <w:tcW w:w="150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较劣</w:t>
            </w:r>
          </w:p>
        </w:tc>
        <w:tc>
          <w:tcPr>
            <w:tcW w:w="1865"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007"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指标标准说明</w:t>
            </w:r>
          </w:p>
        </w:tc>
        <w:tc>
          <w:tcPr>
            <w:tcW w:w="138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形状规则，对土地利用有利</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土地利用较为有利</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土地利用无不良影响</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形状不规则，对土地利用不利</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形状不规则，对土地利用产生严重的影响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007" w:type="dxa"/>
            <w:tcBorders>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380" w:type="dxa"/>
            <w:tcBorders>
              <w:lef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363"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8"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50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0.97</w:t>
            </w:r>
          </w:p>
        </w:tc>
        <w:tc>
          <w:tcPr>
            <w:tcW w:w="1865"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0.94</w:t>
            </w:r>
          </w:p>
        </w:tc>
      </w:tr>
    </w:tbl>
    <w:p>
      <w:pPr>
        <w:pStyle w:val="6"/>
        <w:bidi w:val="0"/>
        <w:rPr>
          <w:rFonts w:hint="default"/>
          <w:lang w:val="en-US" w:eastAsia="zh-CN"/>
        </w:rPr>
      </w:pPr>
      <w:r>
        <w:rPr>
          <w:rFonts w:hint="default"/>
          <w:lang w:val="en-US" w:eastAsia="zh-CN"/>
        </w:rPr>
        <w:t>（</w:t>
      </w:r>
      <w:r>
        <w:rPr>
          <w:rFonts w:hint="eastAsia"/>
          <w:lang w:val="en-US" w:eastAsia="zh-CN"/>
        </w:rPr>
        <w:t>4</w:t>
      </w:r>
      <w:r>
        <w:rPr>
          <w:rFonts w:hint="default"/>
          <w:lang w:val="en-US" w:eastAsia="zh-CN"/>
        </w:rPr>
        <w:t>）建筑物朝向修正系数</w:t>
      </w:r>
    </w:p>
    <w:p>
      <w:pPr>
        <w:pStyle w:val="27"/>
        <w:bidi w:val="0"/>
        <w:rPr>
          <w:rFonts w:hint="default"/>
          <w:lang w:val="en-US" w:eastAsia="zh-CN"/>
        </w:rPr>
      </w:pPr>
      <w:r>
        <w:rPr>
          <w:rFonts w:hint="default"/>
          <w:lang w:val="en-US" w:eastAsia="zh-CN"/>
        </w:rPr>
        <w:t>表</w:t>
      </w:r>
      <w:r>
        <w:rPr>
          <w:rFonts w:hint="eastAsia"/>
          <w:lang w:val="en-US" w:eastAsia="zh-CN"/>
        </w:rPr>
        <w:t>2-81</w:t>
      </w:r>
      <w:r>
        <w:rPr>
          <w:rFonts w:hint="default"/>
          <w:lang w:val="en-US" w:eastAsia="zh-CN"/>
        </w:rPr>
        <w:t xml:space="preserve"> </w:t>
      </w:r>
      <w:r>
        <w:rPr>
          <w:rFonts w:hint="eastAsia"/>
          <w:lang w:val="en-US" w:eastAsia="zh-CN"/>
        </w:rPr>
        <w:t>公共管理与公共服务用地二类</w:t>
      </w:r>
      <w:r>
        <w:rPr>
          <w:rFonts w:hint="default"/>
          <w:lang w:val="en-US" w:eastAsia="zh-CN"/>
        </w:rPr>
        <w:t>建筑物朝向修正系数表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1180"/>
        <w:gridCol w:w="1421"/>
        <w:gridCol w:w="1272"/>
        <w:gridCol w:w="1439"/>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9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指标标准说明</w:t>
            </w:r>
          </w:p>
        </w:tc>
        <w:tc>
          <w:tcPr>
            <w:tcW w:w="118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南</w:t>
            </w:r>
          </w:p>
        </w:tc>
        <w:tc>
          <w:tcPr>
            <w:tcW w:w="1421"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东南、西南</w:t>
            </w:r>
          </w:p>
        </w:tc>
        <w:tc>
          <w:tcPr>
            <w:tcW w:w="1272"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w:t>
            </w:r>
          </w:p>
        </w:tc>
        <w:tc>
          <w:tcPr>
            <w:tcW w:w="1439"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东北、西北</w:t>
            </w:r>
          </w:p>
        </w:tc>
        <w:tc>
          <w:tcPr>
            <w:tcW w:w="135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北、西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79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修正系数</w:t>
            </w:r>
          </w:p>
        </w:tc>
        <w:tc>
          <w:tcPr>
            <w:tcW w:w="118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1.06</w:t>
            </w:r>
          </w:p>
        </w:tc>
        <w:tc>
          <w:tcPr>
            <w:tcW w:w="1421"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1.03</w:t>
            </w:r>
          </w:p>
        </w:tc>
        <w:tc>
          <w:tcPr>
            <w:tcW w:w="1272"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w:t>
            </w:r>
          </w:p>
        </w:tc>
        <w:tc>
          <w:tcPr>
            <w:tcW w:w="1439"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0.98</w:t>
            </w:r>
          </w:p>
        </w:tc>
        <w:tc>
          <w:tcPr>
            <w:tcW w:w="135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0.96</w:t>
            </w:r>
          </w:p>
        </w:tc>
      </w:tr>
    </w:tbl>
    <w:p>
      <w:pPr>
        <w:pStyle w:val="6"/>
        <w:bidi w:val="0"/>
        <w:rPr>
          <w:rFonts w:hint="default"/>
          <w:lang w:val="en-US" w:eastAsia="zh-CN"/>
        </w:rPr>
      </w:pPr>
      <w:r>
        <w:rPr>
          <w:rFonts w:hint="default"/>
          <w:lang w:val="en-US" w:eastAsia="zh-CN"/>
        </w:rPr>
        <w:t>（</w:t>
      </w:r>
      <w:r>
        <w:rPr>
          <w:rFonts w:hint="eastAsia"/>
          <w:lang w:val="en-US" w:eastAsia="zh-CN"/>
        </w:rPr>
        <w:t>5</w:t>
      </w:r>
      <w:r>
        <w:rPr>
          <w:rFonts w:hint="default"/>
          <w:lang w:val="en-US" w:eastAsia="zh-CN"/>
        </w:rPr>
        <w:t>）宗地开发程度修正系数</w:t>
      </w:r>
    </w:p>
    <w:p>
      <w:pPr>
        <w:bidi w:val="0"/>
        <w:rPr>
          <w:rFonts w:hint="default"/>
          <w:lang w:val="en-US" w:eastAsia="zh-CN"/>
        </w:rPr>
      </w:pPr>
      <w:r>
        <w:rPr>
          <w:rFonts w:hint="default"/>
          <w:lang w:val="en-US" w:eastAsia="zh-CN"/>
        </w:rPr>
        <w:t>随州市</w:t>
      </w:r>
      <w:r>
        <w:rPr>
          <w:rFonts w:hint="eastAsia"/>
          <w:lang w:val="en-US" w:eastAsia="zh-CN"/>
        </w:rPr>
        <w:t>城区</w:t>
      </w:r>
      <w:r>
        <w:rPr>
          <w:rFonts w:hint="default"/>
          <w:lang w:val="en-US" w:eastAsia="zh-CN"/>
        </w:rPr>
        <w:t>本次基准地价更新</w:t>
      </w:r>
      <w:r>
        <w:rPr>
          <w:rFonts w:hint="eastAsia"/>
          <w:lang w:val="en-US" w:eastAsia="zh-CN"/>
        </w:rPr>
        <w:t>公共管理与公共服务用地二类</w:t>
      </w:r>
      <w:r>
        <w:rPr>
          <w:rFonts w:hint="default"/>
          <w:lang w:val="en-US" w:eastAsia="zh-CN"/>
        </w:rPr>
        <w:t>设定的开发程度为红线外</w:t>
      </w:r>
      <w:r>
        <w:rPr>
          <w:rFonts w:hint="eastAsia"/>
          <w:lang w:val="en-US" w:eastAsia="zh-CN"/>
        </w:rPr>
        <w:t>“五通一平”</w:t>
      </w:r>
      <w:r>
        <w:rPr>
          <w:rFonts w:hint="default"/>
          <w:lang w:val="en-US" w:eastAsia="zh-CN"/>
        </w:rPr>
        <w:t>。若宗地基础设施配套程度没有达到该程度，利用基准地价来评估宗地地价时就应该减去相应的开发费用。若待估宗地开发程度超过了设定程度，在评估单位地价时应加上相应开发费用（土地平整费用视具体情况而定）。</w:t>
      </w:r>
    </w:p>
    <w:p>
      <w:pPr>
        <w:pStyle w:val="27"/>
        <w:bidi w:val="0"/>
        <w:rPr>
          <w:rFonts w:hint="default"/>
          <w:lang w:val="en-US" w:eastAsia="zh-CN"/>
        </w:rPr>
      </w:pPr>
      <w:r>
        <w:rPr>
          <w:rFonts w:hint="default"/>
          <w:lang w:val="en-US" w:eastAsia="zh-CN"/>
        </w:rPr>
        <w:t>表</w:t>
      </w:r>
      <w:r>
        <w:rPr>
          <w:rFonts w:hint="eastAsia"/>
          <w:lang w:val="en-US" w:eastAsia="zh-CN"/>
        </w:rPr>
        <w:t>2-82</w:t>
      </w:r>
      <w:r>
        <w:rPr>
          <w:rFonts w:hint="default"/>
          <w:lang w:val="en-US" w:eastAsia="zh-CN"/>
        </w:rPr>
        <w:t xml:space="preserve"> 开发程度修正值范围表</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right"/>
        <w:textAlignment w:val="auto"/>
        <w:outlineLvl w:val="9"/>
        <w:rPr>
          <w:rFonts w:hint="eastAsia" w:ascii="仿宋" w:hAnsi="仿宋" w:eastAsia="仿宋" w:cs="仿宋"/>
          <w:sz w:val="18"/>
        </w:rPr>
      </w:pPr>
      <w:r>
        <w:rPr>
          <w:rFonts w:hint="eastAsia" w:ascii="仿宋" w:hAnsi="仿宋" w:eastAsia="仿宋" w:cs="仿宋"/>
          <w:b/>
          <w:sz w:val="18"/>
        </w:rPr>
        <w:t>单位：元/m</w:t>
      </w:r>
      <w:r>
        <w:rPr>
          <w:rFonts w:hint="eastAsia" w:ascii="仿宋" w:hAnsi="仿宋" w:eastAsia="仿宋" w:cs="仿宋"/>
          <w:b/>
          <w:sz w:val="18"/>
          <w:vertAlign w:val="superscript"/>
        </w:rPr>
        <w:t>2</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420"/>
        <w:gridCol w:w="1420"/>
        <w:gridCol w:w="1420"/>
        <w:gridCol w:w="1420"/>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26"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开发程度</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通路</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通电</w:t>
            </w:r>
          </w:p>
        </w:tc>
        <w:tc>
          <w:tcPr>
            <w:tcW w:w="1420" w:type="dxa"/>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通上水</w:t>
            </w:r>
          </w:p>
        </w:tc>
        <w:tc>
          <w:tcPr>
            <w:tcW w:w="1420"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通下水</w:t>
            </w:r>
          </w:p>
        </w:tc>
        <w:tc>
          <w:tcPr>
            <w:tcW w:w="1416" w:type="dxa"/>
            <w:tcBorders>
              <w:bottom w:val="single" w:color="auto" w:sz="4" w:space="0"/>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42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五通一平</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30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20"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20</w:t>
            </w:r>
          </w:p>
        </w:tc>
        <w:tc>
          <w:tcPr>
            <w:tcW w:w="1416" w:type="dxa"/>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15</w:t>
            </w:r>
          </w:p>
        </w:tc>
      </w:tr>
    </w:tbl>
    <w:p>
      <w:pPr>
        <w:pStyle w:val="2"/>
        <w:rPr>
          <w:rFonts w:hint="default"/>
          <w:lang w:val="en-US" w:eastAsia="zh-CN"/>
        </w:rPr>
        <w:sectPr>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3"/>
        <w:bidi w:val="0"/>
        <w:rPr>
          <w:rFonts w:hint="default"/>
          <w:lang w:val="en-US" w:eastAsia="zh-CN"/>
        </w:rPr>
      </w:pPr>
      <w:bookmarkStart w:id="37" w:name="_Toc8184"/>
      <w:r>
        <w:rPr>
          <w:rFonts w:hint="eastAsia"/>
          <w:lang w:val="en-US" w:eastAsia="zh-CN"/>
        </w:rPr>
        <w:t>三、标定地价</w:t>
      </w:r>
      <w:bookmarkEnd w:id="37"/>
    </w:p>
    <w:p>
      <w:pPr>
        <w:pStyle w:val="27"/>
        <w:bidi w:val="0"/>
        <w:rPr>
          <w:rFonts w:hint="default" w:eastAsia="仿宋"/>
          <w:b/>
          <w:bCs/>
          <w:sz w:val="24"/>
          <w:lang w:val="en-US" w:eastAsia="zh-CN"/>
        </w:rPr>
      </w:pPr>
      <w:r>
        <w:rPr>
          <w:rFonts w:hint="default" w:eastAsia="仿宋"/>
          <w:b/>
          <w:bCs/>
          <w:sz w:val="24"/>
          <w:lang w:val="en-US" w:eastAsia="zh-CN"/>
        </w:rPr>
        <w:t>表</w:t>
      </w:r>
      <w:r>
        <w:rPr>
          <w:rFonts w:hint="eastAsia" w:eastAsia="仿宋"/>
          <w:b/>
          <w:bCs/>
          <w:sz w:val="24"/>
          <w:lang w:val="en-US" w:eastAsia="zh-CN"/>
        </w:rPr>
        <w:t xml:space="preserve">3-1 </w:t>
      </w:r>
      <w:r>
        <w:rPr>
          <w:rFonts w:hint="default" w:eastAsia="仿宋"/>
          <w:b/>
          <w:bCs/>
          <w:sz w:val="24"/>
          <w:lang w:val="en-US" w:eastAsia="zh-CN"/>
        </w:rPr>
        <w:t>随州市</w:t>
      </w:r>
      <w:r>
        <w:rPr>
          <w:rFonts w:hint="eastAsia" w:eastAsia="仿宋"/>
          <w:b/>
          <w:bCs/>
          <w:sz w:val="24"/>
          <w:lang w:val="en-US" w:eastAsia="zh-CN"/>
        </w:rPr>
        <w:t>城区</w:t>
      </w:r>
      <w:r>
        <w:rPr>
          <w:rFonts w:hint="default" w:eastAsia="仿宋"/>
          <w:b/>
          <w:bCs/>
          <w:sz w:val="24"/>
          <w:lang w:val="en-US" w:eastAsia="zh-CN"/>
        </w:rPr>
        <w:t>标定地价公示信息表</w:t>
      </w:r>
    </w:p>
    <w:p>
      <w:pPr>
        <w:pStyle w:val="20"/>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outlineLvl w:val="9"/>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b w:val="0"/>
          <w:bCs/>
          <w:sz w:val="21"/>
          <w:szCs w:val="21"/>
          <w:lang w:val="en-US" w:eastAsia="zh-CN"/>
        </w:rPr>
        <w:t>地价期日</w:t>
      </w:r>
      <w:r>
        <w:rPr>
          <w:rFonts w:hint="default" w:ascii="Times New Roman" w:hAnsi="Times New Roman" w:eastAsia="仿宋_GB2312" w:cs="Times New Roman"/>
          <w:b w:val="0"/>
          <w:bCs/>
          <w:sz w:val="21"/>
          <w:szCs w:val="21"/>
        </w:rPr>
        <w:t>：</w:t>
      </w:r>
      <w:r>
        <w:rPr>
          <w:rFonts w:hint="eastAsia" w:ascii="Times New Roman" w:hAnsi="Times New Roman" w:eastAsia="仿宋_GB2312" w:cs="Times New Roman"/>
          <w:b w:val="0"/>
          <w:bCs/>
          <w:sz w:val="21"/>
          <w:szCs w:val="21"/>
          <w:lang w:val="en-US" w:eastAsia="zh-CN"/>
        </w:rPr>
        <w:t>2023年12月31日</w:t>
      </w:r>
    </w:p>
    <w:tbl>
      <w:tblPr>
        <w:tblStyle w:val="21"/>
        <w:tblW w:w="152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1516"/>
        <w:gridCol w:w="4535"/>
        <w:gridCol w:w="1526"/>
        <w:gridCol w:w="1134"/>
        <w:gridCol w:w="680"/>
        <w:gridCol w:w="655"/>
        <w:gridCol w:w="891"/>
        <w:gridCol w:w="936"/>
        <w:gridCol w:w="850"/>
        <w:gridCol w:w="1020"/>
        <w:gridCol w:w="1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blHeader/>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序号</w:t>
            </w:r>
          </w:p>
        </w:tc>
        <w:tc>
          <w:tcPr>
            <w:tcW w:w="15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标准宗地编码</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位置及名称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用途</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eastAsia="仿宋" w:cs="仿宋_GB2312"/>
                <w:b/>
                <w:bCs w:val="0"/>
                <w:i w:val="0"/>
                <w:iCs w:val="0"/>
                <w:color w:val="000000"/>
                <w:kern w:val="0"/>
                <w:sz w:val="18"/>
                <w:szCs w:val="18"/>
                <w:u w:val="none"/>
                <w:lang w:val="en-US" w:eastAsia="zh-CN" w:bidi="ar"/>
              </w:rPr>
              <w:t>权利</w:t>
            </w:r>
            <w:r>
              <w:rPr>
                <w:rFonts w:hint="eastAsia" w:ascii="Times New Roman" w:hAnsi="Times New Roman" w:eastAsia="仿宋" w:cs="仿宋_GB2312"/>
                <w:b/>
                <w:bCs w:val="0"/>
                <w:i w:val="0"/>
                <w:iCs w:val="0"/>
                <w:color w:val="000000"/>
                <w:kern w:val="0"/>
                <w:sz w:val="18"/>
                <w:szCs w:val="18"/>
                <w:u w:val="none"/>
                <w:lang w:val="en-US" w:eastAsia="zh-CN" w:bidi="ar"/>
              </w:rPr>
              <w:t>类型</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土地级别</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容积率</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Style w:val="34"/>
                <w:rFonts w:ascii="Times New Roman" w:hAnsi="Times New Roman" w:eastAsia="仿宋"/>
                <w:b/>
                <w:bCs w:val="0"/>
                <w:sz w:val="18"/>
                <w:lang w:val="en-US" w:eastAsia="zh-CN" w:bidi="ar"/>
              </w:rPr>
              <w:t>面积</w:t>
            </w:r>
            <w:r>
              <w:rPr>
                <w:rStyle w:val="57"/>
                <w:rFonts w:ascii="Times New Roman" w:hAnsi="Times New Roman" w:eastAsia="仿宋"/>
                <w:b/>
                <w:bCs w:val="0"/>
                <w:sz w:val="18"/>
                <w:lang w:val="en-US" w:eastAsia="zh-CN" w:bidi="ar"/>
              </w:rPr>
              <w:t>(</w:t>
            </w:r>
            <w:r>
              <w:rPr>
                <w:rStyle w:val="57"/>
                <w:rFonts w:hint="default" w:ascii="Times New Roman" w:hAnsi="Times New Roman" w:eastAsia="仿宋"/>
                <w:b/>
                <w:bCs w:val="0"/>
                <w:sz w:val="18"/>
                <w:lang w:val="en-US" w:eastAsia="zh-CN" w:bidi="ar"/>
              </w:rPr>
              <w:t>㎡</w:t>
            </w:r>
            <w:r>
              <w:rPr>
                <w:rStyle w:val="57"/>
                <w:rFonts w:ascii="Times New Roman" w:hAnsi="Times New Roman" w:eastAsia="仿宋"/>
                <w:b/>
                <w:bCs w:val="0"/>
                <w:sz w:val="18"/>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开发程度</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Fonts w:hint="eastAsia" w:ascii="Times New Roman" w:hAnsi="Times New Roman" w:eastAsia="仿宋" w:cs="仿宋_GB2312"/>
                <w:b/>
                <w:bCs w:val="0"/>
                <w:i w:val="0"/>
                <w:iCs w:val="0"/>
                <w:color w:val="000000"/>
                <w:kern w:val="0"/>
                <w:sz w:val="18"/>
                <w:szCs w:val="18"/>
                <w:u w:val="none"/>
                <w:lang w:val="en-US" w:eastAsia="zh-CN" w:bidi="ar"/>
              </w:rPr>
              <w:t>设定使用年期</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Style w:val="34"/>
                <w:rFonts w:ascii="Times New Roman" w:hAnsi="Times New Roman" w:eastAsia="仿宋"/>
                <w:b/>
                <w:bCs w:val="0"/>
                <w:sz w:val="18"/>
                <w:lang w:val="en-US" w:eastAsia="zh-CN" w:bidi="ar"/>
              </w:rPr>
              <w:t>标定地价（</w:t>
            </w:r>
            <w:r>
              <w:rPr>
                <w:rStyle w:val="34"/>
                <w:rFonts w:hint="default" w:ascii="Times New Roman" w:hAnsi="Times New Roman" w:eastAsia="仿宋"/>
                <w:b/>
                <w:bCs w:val="0"/>
                <w:sz w:val="18"/>
                <w:lang w:val="en-US" w:eastAsia="zh-CN" w:bidi="ar"/>
              </w:rPr>
              <w:t>元/㎡</w:t>
            </w:r>
            <w:r>
              <w:rPr>
                <w:rStyle w:val="34"/>
                <w:rFonts w:ascii="Times New Roman" w:hAnsi="Times New Roman" w:eastAsia="仿宋"/>
                <w:b/>
                <w:bCs w:val="0"/>
                <w:sz w:val="18"/>
                <w:lang w:val="en-US" w:eastAsia="zh-CN" w:bidi="ar"/>
              </w:rPr>
              <w:t>）</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bCs w:val="0"/>
                <w:i w:val="0"/>
                <w:iCs w:val="0"/>
                <w:color w:val="000000"/>
                <w:sz w:val="18"/>
                <w:szCs w:val="18"/>
                <w:u w:val="none"/>
              </w:rPr>
            </w:pPr>
            <w:r>
              <w:rPr>
                <w:rStyle w:val="34"/>
                <w:rFonts w:ascii="Times New Roman" w:hAnsi="Times New Roman" w:eastAsia="仿宋"/>
                <w:b/>
                <w:bCs w:val="0"/>
                <w:sz w:val="18"/>
                <w:lang w:val="en-US" w:eastAsia="zh-CN" w:bidi="ar"/>
              </w:rPr>
              <w:t>楼面地价（</w:t>
            </w:r>
            <w:r>
              <w:rPr>
                <w:rStyle w:val="34"/>
                <w:rFonts w:hint="default" w:ascii="Times New Roman" w:hAnsi="Times New Roman" w:eastAsia="仿宋"/>
                <w:b/>
                <w:bCs w:val="0"/>
                <w:sz w:val="18"/>
                <w:lang w:val="en-US" w:eastAsia="zh-CN" w:bidi="ar"/>
              </w:rPr>
              <w:t>元/㎡</w:t>
            </w:r>
            <w:r>
              <w:rPr>
                <w:rStyle w:val="34"/>
                <w:rFonts w:ascii="Times New Roman" w:hAnsi="Times New Roman" w:eastAsia="仿宋"/>
                <w:b/>
                <w:bCs w:val="0"/>
                <w:sz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421300S5100101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3"/>
                <w:rFonts w:ascii="Times New Roman" w:hAnsi="Times New Roman" w:eastAsia="仿宋"/>
                <w:b w:val="0"/>
                <w:sz w:val="18"/>
                <w:lang w:val="en-US" w:eastAsia="zh-CN" w:bidi="ar"/>
              </w:rPr>
              <w:t>随州市曾都开发区六草屋</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国际汽车城</w:t>
            </w:r>
            <w:r>
              <w:rPr>
                <w:rStyle w:val="32"/>
                <w:rFonts w:ascii="Times New Roman" w:hAnsi="Times New Roman" w:eastAsia="仿宋"/>
                <w:b w:val="0"/>
                <w:sz w:val="18"/>
                <w:lang w:val="en-US" w:eastAsia="zh-CN" w:bidi="ar"/>
              </w:rPr>
              <w:t>(2009)32</w:t>
            </w:r>
            <w:r>
              <w:rPr>
                <w:rStyle w:val="43"/>
                <w:rFonts w:ascii="Times New Roman" w:hAnsi="Times New Roman" w:eastAsia="仿宋"/>
                <w:b w:val="0"/>
                <w:sz w:val="18"/>
                <w:lang w:val="en-US" w:eastAsia="zh-CN" w:bidi="ar"/>
              </w:rPr>
              <w:t>号</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4</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7971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1331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421300S5100201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随州市烈山大道</w:t>
            </w:r>
            <w:r>
              <w:rPr>
                <w:rStyle w:val="32"/>
                <w:rFonts w:ascii="Times New Roman" w:hAnsi="Times New Roman" w:eastAsia="仿宋"/>
                <w:b w:val="0"/>
                <w:sz w:val="18"/>
                <w:lang w:val="en-US" w:eastAsia="zh-CN" w:bidi="ar"/>
              </w:rPr>
              <w:t>220</w:t>
            </w:r>
            <w:r>
              <w:rPr>
                <w:rStyle w:val="43"/>
                <w:rFonts w:ascii="Times New Roman" w:hAnsi="Times New Roman" w:eastAsia="仿宋"/>
                <w:b w:val="0"/>
                <w:sz w:val="18"/>
                <w:lang w:val="en-US" w:eastAsia="zh-CN" w:bidi="ar"/>
              </w:rPr>
              <w:t>号</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城市快捷酒店</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1</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2.5</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5964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4207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421300S5100301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随州经济开发区寨湾村</w:t>
            </w:r>
            <w:r>
              <w:rPr>
                <w:rStyle w:val="32"/>
                <w:rFonts w:ascii="Times New Roman" w:hAnsi="Times New Roman" w:eastAsia="仿宋"/>
                <w:b w:val="0"/>
                <w:sz w:val="18"/>
                <w:lang w:val="en-US" w:eastAsia="zh-CN" w:bidi="ar"/>
              </w:rPr>
              <w:t>/4S</w:t>
            </w:r>
            <w:r>
              <w:rPr>
                <w:rStyle w:val="43"/>
                <w:rFonts w:ascii="Times New Roman" w:hAnsi="Times New Roman" w:eastAsia="仿宋"/>
                <w:b w:val="0"/>
                <w:sz w:val="18"/>
                <w:lang w:val="en-US" w:eastAsia="zh-CN" w:bidi="ar"/>
              </w:rPr>
              <w:t>店</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4</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12700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821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421300S5100401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随州高新技术产业园区寨湾村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丰田</w:t>
            </w:r>
            <w:r>
              <w:rPr>
                <w:rStyle w:val="32"/>
                <w:rFonts w:ascii="Times New Roman" w:hAnsi="Times New Roman" w:eastAsia="仿宋"/>
                <w:b w:val="0"/>
                <w:sz w:val="18"/>
                <w:lang w:val="en-US" w:eastAsia="zh-CN" w:bidi="ar"/>
              </w:rPr>
              <w:t>4S</w:t>
            </w:r>
            <w:r>
              <w:rPr>
                <w:rStyle w:val="43"/>
                <w:rFonts w:ascii="Times New Roman" w:hAnsi="Times New Roman" w:eastAsia="仿宋"/>
                <w:b w:val="0"/>
                <w:sz w:val="18"/>
                <w:lang w:val="en-US" w:eastAsia="zh-CN" w:bidi="ar"/>
              </w:rPr>
              <w:t>店</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4</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811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421300S5100501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随州市经济开发区望城岗社区</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一汽大众</w:t>
            </w:r>
            <w:r>
              <w:rPr>
                <w:rStyle w:val="32"/>
                <w:rFonts w:ascii="Times New Roman" w:hAnsi="Times New Roman" w:eastAsia="仿宋"/>
                <w:b w:val="0"/>
                <w:sz w:val="18"/>
                <w:lang w:val="en-US" w:eastAsia="zh-CN" w:bidi="ar"/>
              </w:rPr>
              <w:t>4S</w:t>
            </w:r>
            <w:r>
              <w:rPr>
                <w:rStyle w:val="43"/>
                <w:rFonts w:ascii="Times New Roman" w:hAnsi="Times New Roman" w:eastAsia="仿宋"/>
                <w:b w:val="0"/>
                <w:sz w:val="18"/>
                <w:lang w:val="en-US" w:eastAsia="zh-CN" w:bidi="ar"/>
              </w:rPr>
              <w:t>店</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4</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16300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814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421300S5100601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随州市南郊瓜园一组</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亚细亚宾馆</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3.6</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629.1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3216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421300S5100701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随州市交通大道与文峰街交叉口</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香江国际家居广场</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2.8</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57348.11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3365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421300S5100801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随州市编钟大道与神农大道交汇处/万达广场</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商业服务业用地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2.3</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54794.2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3685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421300Z7100101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青年路烈山大道</w:t>
            </w:r>
            <w:r>
              <w:rPr>
                <w:rStyle w:val="32"/>
                <w:rFonts w:ascii="Times New Roman" w:hAnsi="Times New Roman" w:eastAsia="仿宋"/>
                <w:b w:val="0"/>
                <w:sz w:val="18"/>
                <w:lang w:val="en-US" w:eastAsia="zh-CN" w:bidi="ar"/>
              </w:rPr>
              <w:t>495</w:t>
            </w:r>
            <w:r>
              <w:rPr>
                <w:rStyle w:val="43"/>
                <w:rFonts w:ascii="Times New Roman" w:hAnsi="Times New Roman" w:eastAsia="仿宋"/>
                <w:b w:val="0"/>
                <w:sz w:val="18"/>
                <w:lang w:val="en-US" w:eastAsia="zh-CN" w:bidi="ar"/>
              </w:rPr>
              <w:t>号</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齐星花园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1</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4.1</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132000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5494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421300Z7100201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随州市清河路与交通大道交叉口西北角</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盛世华庭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2.5</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7976.49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2791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421300Z7100301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随州沿河大道北端与桃园路交界处</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水岸国际</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2.9</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140000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2289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421300Z7100401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擂鼓墩大道东侧</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水岸蓝桥</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3.2</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48421.05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421300Z7100501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青年路</w:t>
            </w:r>
            <w:r>
              <w:rPr>
                <w:rStyle w:val="32"/>
                <w:rFonts w:ascii="Times New Roman" w:hAnsi="Times New Roman" w:eastAsia="仿宋"/>
                <w:b w:val="0"/>
                <w:sz w:val="18"/>
                <w:lang w:val="en-US" w:eastAsia="zh-CN" w:bidi="ar"/>
              </w:rPr>
              <w:t>37</w:t>
            </w:r>
            <w:r>
              <w:rPr>
                <w:rStyle w:val="43"/>
                <w:rFonts w:ascii="Times New Roman" w:hAnsi="Times New Roman" w:eastAsia="仿宋"/>
                <w:b w:val="0"/>
                <w:sz w:val="18"/>
                <w:lang w:val="en-US" w:eastAsia="zh-CN" w:bidi="ar"/>
              </w:rPr>
              <w:t>号</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金色港湾</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56200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1978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989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421300Z7100601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随州经济开发区熊家村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东方豪庭小区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6200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2104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421300Z7100701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随州经济开发区熊家村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红星国际广场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108600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3671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421300Z7100801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随州经济开发区吴家老湾村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大地国际中心</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24000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6609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421300Z7100901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随州经济开发区寨湾村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康华花语城</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2.6</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10238.13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2724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421300Z7101001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随州市汉东路</w:t>
            </w:r>
            <w:r>
              <w:rPr>
                <w:rStyle w:val="32"/>
                <w:rFonts w:ascii="Times New Roman" w:hAnsi="Times New Roman" w:eastAsia="仿宋"/>
                <w:b w:val="0"/>
                <w:sz w:val="18"/>
                <w:lang w:val="en-US" w:eastAsia="zh-CN" w:bidi="ar"/>
              </w:rPr>
              <w:t xml:space="preserve"> 189 </w:t>
            </w:r>
            <w:r>
              <w:rPr>
                <w:rStyle w:val="43"/>
                <w:rFonts w:ascii="Times New Roman" w:hAnsi="Times New Roman" w:eastAsia="仿宋"/>
                <w:b w:val="0"/>
                <w:sz w:val="18"/>
                <w:lang w:val="en-US" w:eastAsia="zh-CN" w:bidi="ar"/>
              </w:rPr>
              <w:t>号</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齐星</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长森园</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161821.8</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1616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421300Z7101101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随州市曾都经济开发区两水工业园</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宏牛小区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4</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1.8</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7650.51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1148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421300Z7101201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随州市东城文峰塔社区迎宾大道东侧</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迎宾花园小区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1</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2.2</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106300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3362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421300Z7101301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随州市编钟大道与涢水三路交汇处/御景南山</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居住用地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66400.45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六通一平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2979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421300G6100101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随州市曾都经济开发区首义村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湖北三环铸造股份有限公司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工矿用地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63501.49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264</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421300G6100201</w:t>
            </w:r>
          </w:p>
        </w:tc>
        <w:tc>
          <w:tcPr>
            <w:tcW w:w="45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随州市曾都开发区六草屋、两水村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湖北财富楚风汽车工业有限公司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工矿用地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357000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277</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421300G6100301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随州市高新区裕民村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湖北利康医用材料股份有限公司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工矿用地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3</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136400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190</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421300G6100401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随州市交通大道</w:t>
            </w:r>
            <w:r>
              <w:rPr>
                <w:rStyle w:val="32"/>
                <w:rFonts w:ascii="Times New Roman" w:hAnsi="Times New Roman" w:eastAsia="仿宋"/>
                <w:b w:val="0"/>
                <w:sz w:val="18"/>
                <w:lang w:val="en-US" w:eastAsia="zh-CN" w:bidi="ar"/>
              </w:rPr>
              <w:t>K061</w:t>
            </w:r>
            <w:r>
              <w:rPr>
                <w:rStyle w:val="43"/>
                <w:rFonts w:ascii="Times New Roman" w:hAnsi="Times New Roman" w:eastAsia="仿宋"/>
                <w:b w:val="0"/>
                <w:sz w:val="18"/>
                <w:lang w:val="en-US" w:eastAsia="zh-CN" w:bidi="ar"/>
              </w:rPr>
              <w:t>号</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随州市威龙食品有限责任公司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工矿用地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2</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1.0</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77599.3</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393</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421300G6100501</w:t>
            </w:r>
          </w:p>
        </w:tc>
        <w:tc>
          <w:tcPr>
            <w:tcW w:w="45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Style w:val="43"/>
                <w:rFonts w:ascii="Times New Roman" w:hAnsi="Times New Roman" w:eastAsia="仿宋"/>
                <w:b w:val="0"/>
                <w:sz w:val="18"/>
                <w:lang w:val="en-US" w:eastAsia="zh-CN" w:bidi="ar"/>
              </w:rPr>
              <w:t>随州经济开发区望城岗村</w:t>
            </w:r>
            <w:r>
              <w:rPr>
                <w:rStyle w:val="32"/>
                <w:rFonts w:ascii="Times New Roman" w:hAnsi="Times New Roman" w:eastAsia="仿宋"/>
                <w:b w:val="0"/>
                <w:sz w:val="18"/>
                <w:lang w:val="en-US" w:eastAsia="zh-CN" w:bidi="ar"/>
              </w:rPr>
              <w:t>/</w:t>
            </w:r>
            <w:r>
              <w:rPr>
                <w:rStyle w:val="43"/>
                <w:rFonts w:ascii="Times New Roman" w:hAnsi="Times New Roman" w:eastAsia="仿宋"/>
                <w:b w:val="0"/>
                <w:sz w:val="18"/>
                <w:lang w:val="en-US" w:eastAsia="zh-CN" w:bidi="ar"/>
              </w:rPr>
              <w:t>湖北裕国菇业股份有限公司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工矿用地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国有/出让</w:t>
            </w:r>
          </w:p>
        </w:tc>
        <w:tc>
          <w:tcPr>
            <w:tcW w:w="6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Style w:val="42"/>
                <w:rFonts w:ascii="Times New Roman" w:hAnsi="Times New Roman" w:eastAsia="仿宋"/>
                <w:b w:val="0"/>
                <w:sz w:val="18"/>
                <w:lang w:val="en-US" w:eastAsia="zh-CN" w:bidi="ar"/>
              </w:rPr>
              <w:t>1</w:t>
            </w:r>
            <w:r>
              <w:rPr>
                <w:rStyle w:val="51"/>
                <w:rFonts w:ascii="Times New Roman" w:hAnsi="Times New Roman" w:eastAsia="仿宋"/>
                <w:b w:val="0"/>
                <w:sz w:val="18"/>
                <w:lang w:val="en-US" w:eastAsia="zh-CN" w:bidi="ar"/>
              </w:rPr>
              <w:t>级</w:t>
            </w:r>
          </w:p>
        </w:tc>
        <w:tc>
          <w:tcPr>
            <w:tcW w:w="6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1.1</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94140.6</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 w:cs="仿宋_GB2312"/>
                <w:b w:val="0"/>
                <w:i w:val="0"/>
                <w:iCs w:val="0"/>
                <w:color w:val="000000"/>
                <w:sz w:val="18"/>
                <w:szCs w:val="18"/>
                <w:u w:val="none"/>
              </w:rPr>
            </w:pPr>
            <w:r>
              <w:rPr>
                <w:rFonts w:hint="eastAsia" w:ascii="Times New Roman" w:hAnsi="Times New Roman" w:eastAsia="仿宋" w:cs="仿宋_GB2312"/>
                <w:b w:val="0"/>
                <w:i w:val="0"/>
                <w:iCs w:val="0"/>
                <w:color w:val="000000"/>
                <w:kern w:val="0"/>
                <w:sz w:val="18"/>
                <w:szCs w:val="18"/>
                <w:u w:val="none"/>
                <w:lang w:val="en-US" w:eastAsia="zh-CN" w:bidi="ar"/>
              </w:rPr>
              <w:t>五通一平</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287</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 w:cs="Times New Roman"/>
                <w:b w:val="0"/>
                <w:i w:val="0"/>
                <w:iCs w:val="0"/>
                <w:color w:val="000000"/>
                <w:sz w:val="18"/>
                <w:szCs w:val="18"/>
                <w:u w:val="none"/>
              </w:rPr>
            </w:pPr>
            <w:r>
              <w:rPr>
                <w:rFonts w:hint="default" w:ascii="Times New Roman" w:hAnsi="Times New Roman" w:eastAsia="仿宋" w:cs="Times New Roman"/>
                <w:b w:val="0"/>
                <w:i w:val="0"/>
                <w:iCs w:val="0"/>
                <w:color w:val="000000"/>
                <w:kern w:val="0"/>
                <w:sz w:val="18"/>
                <w:szCs w:val="18"/>
                <w:u w:val="none"/>
                <w:lang w:val="en-US" w:eastAsia="zh-CN" w:bidi="ar"/>
              </w:rPr>
              <w:t>-</w:t>
            </w:r>
          </w:p>
        </w:tc>
      </w:tr>
    </w:tbl>
    <w:p>
      <w:pPr>
        <w:pStyle w:val="2"/>
        <w:rPr>
          <w:rFonts w:hint="default"/>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954C414-53F8-47B8-8549-AC11E3CB044B}"/>
  </w:font>
  <w:font w:name="黑体">
    <w:panose1 w:val="02010609060101010101"/>
    <w:charset w:val="86"/>
    <w:family w:val="auto"/>
    <w:pitch w:val="default"/>
    <w:sig w:usb0="800002BF" w:usb1="38CF7CFA" w:usb2="00000016" w:usb3="00000000" w:csb0="00040001" w:csb1="00000000"/>
    <w:embedRegular r:id="rId2" w:fontKey="{A8AF795D-3CC3-4424-93B7-5066E7A6E4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BCF7DF66-EDBB-4D18-8655-CDD872B25B43}"/>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399C3C5F-0B4A-484B-A763-F6E6FFC30E8A}"/>
  </w:font>
  <w:font w:name="幼圆">
    <w:altName w:val="宋体"/>
    <w:panose1 w:val="02010509060101010101"/>
    <w:charset w:val="86"/>
    <w:family w:val="modern"/>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embedRegular r:id="rId5" w:fontKey="{8081E379-E789-4AD1-B79B-FDD4A9925C25}"/>
  </w:font>
  <w:font w:name="楷体">
    <w:panose1 w:val="02010609060101010101"/>
    <w:charset w:val="86"/>
    <w:family w:val="auto"/>
    <w:pitch w:val="default"/>
    <w:sig w:usb0="800002BF" w:usb1="38CF7CFA" w:usb2="00000016" w:usb3="00000000" w:csb0="00040001" w:csb1="00000000"/>
    <w:embedRegular r:id="rId6" w:fontKey="{C9E6131D-E7D1-411B-BF79-7DA3DBF81DB6}"/>
  </w:font>
  <w:font w:name="方正仿宋_GB2312">
    <w:panose1 w:val="02000000000000000000"/>
    <w:charset w:val="86"/>
    <w:family w:val="auto"/>
    <w:pitch w:val="default"/>
    <w:sig w:usb0="A00002BF" w:usb1="184F6CFA" w:usb2="00000012" w:usb3="00000000" w:csb0="00040001" w:csb1="00000000"/>
    <w:embedRegular r:id="rId7" w:fontKey="{0A684CF2-B6E8-4AB1-BC7B-F464F693CF83}"/>
  </w:font>
  <w:font w:name="等线">
    <w:panose1 w:val="02010600030101010101"/>
    <w:charset w:val="86"/>
    <w:family w:val="auto"/>
    <w:pitch w:val="default"/>
    <w:sig w:usb0="A00002BF" w:usb1="38CF7CFA" w:usb2="00000016" w:usb3="00000000" w:csb0="0004000F" w:csb1="00000000"/>
    <w:embedRegular r:id="rId8" w:fontKey="{23D5D36E-73DF-4085-99EE-D76B62E3794A}"/>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6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oJhw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R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UoJhwzAgAAZQ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keepNext w:val="0"/>
      <w:keepLines w:val="0"/>
      <w:pageBreakBefore w:val="0"/>
      <w:widowControl w:val="0"/>
      <w:pBdr>
        <w:bottom w:val="none" w:color="auto" w:sz="0" w:space="1"/>
      </w:pBdr>
      <w:kinsoku/>
      <w:wordWrap/>
      <w:overflowPunct/>
      <w:topLinePunct w:val="0"/>
      <w:autoSpaceDE/>
      <w:autoSpaceDN/>
      <w:bidi w:val="0"/>
      <w:adjustRightInd w:val="0"/>
      <w:snapToGrid w:val="0"/>
      <w:ind w:firstLine="0" w:firstLineChars="0"/>
      <w:jc w:val="center"/>
      <w:textAlignment w:val="auto"/>
      <w:rPr>
        <w:rFonts w:hint="default" w:eastAsia="楷体"/>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keepNext w:val="0"/>
      <w:keepLines w:val="0"/>
      <w:pageBreakBefore w:val="0"/>
      <w:widowControl w:val="0"/>
      <w:pBdr>
        <w:bottom w:val="none" w:color="auto" w:sz="0" w:space="1"/>
      </w:pBdr>
      <w:kinsoku/>
      <w:wordWrap/>
      <w:overflowPunct/>
      <w:topLinePunct w:val="0"/>
      <w:autoSpaceDE/>
      <w:autoSpaceDN/>
      <w:bidi w:val="0"/>
      <w:adjustRightInd w:val="0"/>
      <w:snapToGrid w:val="0"/>
      <w:ind w:firstLine="0" w:firstLineChars="0"/>
      <w:jc w:val="center"/>
      <w:textAlignment w:val="auto"/>
      <w:rPr>
        <w:rFonts w:hint="default" w:eastAsia="楷体"/>
        <w:sz w:val="21"/>
        <w:szCs w:val="21"/>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F048B9"/>
    <w:multiLevelType w:val="multilevel"/>
    <w:tmpl w:val="24F048B9"/>
    <w:lvl w:ilvl="0" w:tentative="0">
      <w:start w:val="1"/>
      <w:numFmt w:val="decimal"/>
      <w:pStyle w:val="31"/>
      <w:lvlText w:val="第%1条"/>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3YjFmNTAxYjMxYjU0OGMzMzE4N2FjYmRiMzljOTMifQ=="/>
    <w:docVar w:name="KSO_WPS_MARK_KEY" w:val="9f2d9774-bd28-4d85-9a3f-c396651d482a"/>
  </w:docVars>
  <w:rsids>
    <w:rsidRoot w:val="00000000"/>
    <w:rsid w:val="015F1D63"/>
    <w:rsid w:val="01775C14"/>
    <w:rsid w:val="020B6A0C"/>
    <w:rsid w:val="021C1292"/>
    <w:rsid w:val="02576EAF"/>
    <w:rsid w:val="026E699E"/>
    <w:rsid w:val="029D518A"/>
    <w:rsid w:val="03376DB8"/>
    <w:rsid w:val="0444782C"/>
    <w:rsid w:val="044D1233"/>
    <w:rsid w:val="044F7542"/>
    <w:rsid w:val="05145BD8"/>
    <w:rsid w:val="06033F82"/>
    <w:rsid w:val="06124378"/>
    <w:rsid w:val="061D3125"/>
    <w:rsid w:val="06345E06"/>
    <w:rsid w:val="06FA74CE"/>
    <w:rsid w:val="071A6F7A"/>
    <w:rsid w:val="07AA38AA"/>
    <w:rsid w:val="07AD3B14"/>
    <w:rsid w:val="088210AA"/>
    <w:rsid w:val="08BC2A1A"/>
    <w:rsid w:val="09554A11"/>
    <w:rsid w:val="097F383C"/>
    <w:rsid w:val="09C15C02"/>
    <w:rsid w:val="0A087525"/>
    <w:rsid w:val="0A522CFE"/>
    <w:rsid w:val="0A8D5403"/>
    <w:rsid w:val="0A961435"/>
    <w:rsid w:val="0A9B022E"/>
    <w:rsid w:val="0ADF4592"/>
    <w:rsid w:val="0AE91A03"/>
    <w:rsid w:val="0AF049F1"/>
    <w:rsid w:val="0B2856D3"/>
    <w:rsid w:val="0B3643CE"/>
    <w:rsid w:val="0CBB063E"/>
    <w:rsid w:val="0CF76D88"/>
    <w:rsid w:val="0CFA1B57"/>
    <w:rsid w:val="0D166265"/>
    <w:rsid w:val="0D4B0D71"/>
    <w:rsid w:val="0E9349E6"/>
    <w:rsid w:val="0EC928C1"/>
    <w:rsid w:val="0F4151F2"/>
    <w:rsid w:val="0F73799F"/>
    <w:rsid w:val="100C2CE9"/>
    <w:rsid w:val="101051ED"/>
    <w:rsid w:val="10D60B3D"/>
    <w:rsid w:val="110F18EC"/>
    <w:rsid w:val="11D010D8"/>
    <w:rsid w:val="126348AB"/>
    <w:rsid w:val="12733A40"/>
    <w:rsid w:val="13021765"/>
    <w:rsid w:val="13806AD7"/>
    <w:rsid w:val="13C702B9"/>
    <w:rsid w:val="13FA6CD6"/>
    <w:rsid w:val="1416495B"/>
    <w:rsid w:val="14413369"/>
    <w:rsid w:val="1502714B"/>
    <w:rsid w:val="159D4B97"/>
    <w:rsid w:val="15B14D7D"/>
    <w:rsid w:val="164C2CF7"/>
    <w:rsid w:val="16D927DD"/>
    <w:rsid w:val="17582F6F"/>
    <w:rsid w:val="17DC60CC"/>
    <w:rsid w:val="17F41E7C"/>
    <w:rsid w:val="180970F2"/>
    <w:rsid w:val="18365B35"/>
    <w:rsid w:val="184B6E5D"/>
    <w:rsid w:val="1855511B"/>
    <w:rsid w:val="18660C01"/>
    <w:rsid w:val="18DA283C"/>
    <w:rsid w:val="192F021C"/>
    <w:rsid w:val="199E386A"/>
    <w:rsid w:val="19B80F54"/>
    <w:rsid w:val="19D51325"/>
    <w:rsid w:val="1ACE15F1"/>
    <w:rsid w:val="1AF924C1"/>
    <w:rsid w:val="1C39449A"/>
    <w:rsid w:val="1CAD1F16"/>
    <w:rsid w:val="1D674E40"/>
    <w:rsid w:val="1EEB44EE"/>
    <w:rsid w:val="1F6F306F"/>
    <w:rsid w:val="1F9F033C"/>
    <w:rsid w:val="1FB060A5"/>
    <w:rsid w:val="200E50DC"/>
    <w:rsid w:val="206D188B"/>
    <w:rsid w:val="20751AA0"/>
    <w:rsid w:val="209A70A0"/>
    <w:rsid w:val="20AB72FF"/>
    <w:rsid w:val="20B6593D"/>
    <w:rsid w:val="21426520"/>
    <w:rsid w:val="214B42D7"/>
    <w:rsid w:val="21EB24D1"/>
    <w:rsid w:val="222260A4"/>
    <w:rsid w:val="237A3CFD"/>
    <w:rsid w:val="23A23380"/>
    <w:rsid w:val="25191DA1"/>
    <w:rsid w:val="25C72F3E"/>
    <w:rsid w:val="26084085"/>
    <w:rsid w:val="26863BE5"/>
    <w:rsid w:val="269B7A71"/>
    <w:rsid w:val="272A2BE1"/>
    <w:rsid w:val="27344D14"/>
    <w:rsid w:val="274517C9"/>
    <w:rsid w:val="276253F6"/>
    <w:rsid w:val="27A14EE7"/>
    <w:rsid w:val="27E656CE"/>
    <w:rsid w:val="280143B8"/>
    <w:rsid w:val="28706D19"/>
    <w:rsid w:val="299F1664"/>
    <w:rsid w:val="29C4731D"/>
    <w:rsid w:val="29E83778"/>
    <w:rsid w:val="29E96D83"/>
    <w:rsid w:val="2A355B25"/>
    <w:rsid w:val="2B0923AB"/>
    <w:rsid w:val="2B146082"/>
    <w:rsid w:val="2B1E480B"/>
    <w:rsid w:val="2BFE5C71"/>
    <w:rsid w:val="2C0D5CAD"/>
    <w:rsid w:val="2D917516"/>
    <w:rsid w:val="2DA55C22"/>
    <w:rsid w:val="2DE20247"/>
    <w:rsid w:val="2E13617D"/>
    <w:rsid w:val="2E861DC8"/>
    <w:rsid w:val="2EB2607A"/>
    <w:rsid w:val="2F062764"/>
    <w:rsid w:val="2FDB0F1C"/>
    <w:rsid w:val="313C1E8F"/>
    <w:rsid w:val="31C26B3F"/>
    <w:rsid w:val="31EF0CAF"/>
    <w:rsid w:val="31F42769"/>
    <w:rsid w:val="321D13C1"/>
    <w:rsid w:val="326649B8"/>
    <w:rsid w:val="32715B68"/>
    <w:rsid w:val="32C831C6"/>
    <w:rsid w:val="331B5A62"/>
    <w:rsid w:val="336456CD"/>
    <w:rsid w:val="336A6188"/>
    <w:rsid w:val="34264510"/>
    <w:rsid w:val="34D66156"/>
    <w:rsid w:val="34F728CE"/>
    <w:rsid w:val="360B1031"/>
    <w:rsid w:val="36EC3A0F"/>
    <w:rsid w:val="375446B5"/>
    <w:rsid w:val="383D5302"/>
    <w:rsid w:val="38627659"/>
    <w:rsid w:val="386A70C6"/>
    <w:rsid w:val="389104C8"/>
    <w:rsid w:val="38FB291B"/>
    <w:rsid w:val="39616936"/>
    <w:rsid w:val="398B63EB"/>
    <w:rsid w:val="3B0E2216"/>
    <w:rsid w:val="3B5A1228"/>
    <w:rsid w:val="3C524F44"/>
    <w:rsid w:val="3C5E2F6F"/>
    <w:rsid w:val="3D0906E1"/>
    <w:rsid w:val="3D7E6430"/>
    <w:rsid w:val="3DAB09D4"/>
    <w:rsid w:val="3E6C7B1C"/>
    <w:rsid w:val="3E8F631C"/>
    <w:rsid w:val="3EB968CD"/>
    <w:rsid w:val="3F035D9A"/>
    <w:rsid w:val="3F0A1C2D"/>
    <w:rsid w:val="3F272DF1"/>
    <w:rsid w:val="3F3A6D57"/>
    <w:rsid w:val="3F3E5024"/>
    <w:rsid w:val="3F870779"/>
    <w:rsid w:val="3FA96941"/>
    <w:rsid w:val="40267F92"/>
    <w:rsid w:val="40806BE1"/>
    <w:rsid w:val="40C72A04"/>
    <w:rsid w:val="40EB67EB"/>
    <w:rsid w:val="413B1B8C"/>
    <w:rsid w:val="41E66A6B"/>
    <w:rsid w:val="42293D69"/>
    <w:rsid w:val="4240637B"/>
    <w:rsid w:val="42652961"/>
    <w:rsid w:val="42794476"/>
    <w:rsid w:val="42E11690"/>
    <w:rsid w:val="43192104"/>
    <w:rsid w:val="432317A2"/>
    <w:rsid w:val="4338693D"/>
    <w:rsid w:val="43844FD6"/>
    <w:rsid w:val="43884ABF"/>
    <w:rsid w:val="438D7F35"/>
    <w:rsid w:val="43B13850"/>
    <w:rsid w:val="43F56AA3"/>
    <w:rsid w:val="44185E43"/>
    <w:rsid w:val="44314783"/>
    <w:rsid w:val="44EF0461"/>
    <w:rsid w:val="450D1720"/>
    <w:rsid w:val="45D87F80"/>
    <w:rsid w:val="46162856"/>
    <w:rsid w:val="468679DC"/>
    <w:rsid w:val="468B627B"/>
    <w:rsid w:val="46AB74EB"/>
    <w:rsid w:val="46E05806"/>
    <w:rsid w:val="47523D62"/>
    <w:rsid w:val="476E1873"/>
    <w:rsid w:val="488B752C"/>
    <w:rsid w:val="49121A8C"/>
    <w:rsid w:val="493173BE"/>
    <w:rsid w:val="496B231B"/>
    <w:rsid w:val="49B22896"/>
    <w:rsid w:val="49C30DF3"/>
    <w:rsid w:val="49D46CB0"/>
    <w:rsid w:val="4A6107E8"/>
    <w:rsid w:val="4A8E3303"/>
    <w:rsid w:val="4AF23F74"/>
    <w:rsid w:val="4B0E35D9"/>
    <w:rsid w:val="4B56246E"/>
    <w:rsid w:val="4B9F595A"/>
    <w:rsid w:val="4BAB52EA"/>
    <w:rsid w:val="4BBC7B20"/>
    <w:rsid w:val="4C053CC6"/>
    <w:rsid w:val="4C1E60FD"/>
    <w:rsid w:val="4C8A2925"/>
    <w:rsid w:val="4C9D15DC"/>
    <w:rsid w:val="4CC36B68"/>
    <w:rsid w:val="4CF3569F"/>
    <w:rsid w:val="4D357A66"/>
    <w:rsid w:val="4D4F4967"/>
    <w:rsid w:val="4D593ECF"/>
    <w:rsid w:val="4DE017A3"/>
    <w:rsid w:val="4E2A70C5"/>
    <w:rsid w:val="4E944C60"/>
    <w:rsid w:val="4F6E725F"/>
    <w:rsid w:val="4F7D72E3"/>
    <w:rsid w:val="4FE973E2"/>
    <w:rsid w:val="50E53551"/>
    <w:rsid w:val="514F30C0"/>
    <w:rsid w:val="51695F30"/>
    <w:rsid w:val="516E3483"/>
    <w:rsid w:val="52435E30"/>
    <w:rsid w:val="52950FA7"/>
    <w:rsid w:val="530A729F"/>
    <w:rsid w:val="53405C66"/>
    <w:rsid w:val="552424D2"/>
    <w:rsid w:val="55545149"/>
    <w:rsid w:val="55601B56"/>
    <w:rsid w:val="56B70EA2"/>
    <w:rsid w:val="56EF5C5B"/>
    <w:rsid w:val="570010E5"/>
    <w:rsid w:val="57037060"/>
    <w:rsid w:val="57790E97"/>
    <w:rsid w:val="585734A0"/>
    <w:rsid w:val="58B127F8"/>
    <w:rsid w:val="592D018B"/>
    <w:rsid w:val="59B57AB7"/>
    <w:rsid w:val="59EF71EF"/>
    <w:rsid w:val="59F607B2"/>
    <w:rsid w:val="5A011A11"/>
    <w:rsid w:val="5A132746"/>
    <w:rsid w:val="5A1B2000"/>
    <w:rsid w:val="5A3A2B60"/>
    <w:rsid w:val="5A3D608C"/>
    <w:rsid w:val="5A417B04"/>
    <w:rsid w:val="5A97285C"/>
    <w:rsid w:val="5AC35F42"/>
    <w:rsid w:val="5AEE6194"/>
    <w:rsid w:val="5BF65486"/>
    <w:rsid w:val="5BF7333B"/>
    <w:rsid w:val="5C891B7C"/>
    <w:rsid w:val="5C8D29E6"/>
    <w:rsid w:val="5D551A5E"/>
    <w:rsid w:val="5E2E2006"/>
    <w:rsid w:val="5E331059"/>
    <w:rsid w:val="5E45761A"/>
    <w:rsid w:val="5E4E391A"/>
    <w:rsid w:val="5E5408F0"/>
    <w:rsid w:val="5F610B8F"/>
    <w:rsid w:val="608923F2"/>
    <w:rsid w:val="60EA5B24"/>
    <w:rsid w:val="61201B0E"/>
    <w:rsid w:val="612956DC"/>
    <w:rsid w:val="61572249"/>
    <w:rsid w:val="61785A1F"/>
    <w:rsid w:val="618D56A5"/>
    <w:rsid w:val="61AB7A6C"/>
    <w:rsid w:val="62683EC6"/>
    <w:rsid w:val="6291178B"/>
    <w:rsid w:val="62CC27C3"/>
    <w:rsid w:val="64287ECD"/>
    <w:rsid w:val="6436172C"/>
    <w:rsid w:val="64743E15"/>
    <w:rsid w:val="6477050C"/>
    <w:rsid w:val="64A318FC"/>
    <w:rsid w:val="64BB0421"/>
    <w:rsid w:val="658E25A8"/>
    <w:rsid w:val="65BB1126"/>
    <w:rsid w:val="65F71905"/>
    <w:rsid w:val="66DA33E3"/>
    <w:rsid w:val="66ED2D08"/>
    <w:rsid w:val="66F85A61"/>
    <w:rsid w:val="680258D8"/>
    <w:rsid w:val="68297D70"/>
    <w:rsid w:val="68444BA9"/>
    <w:rsid w:val="68446947"/>
    <w:rsid w:val="685C6397"/>
    <w:rsid w:val="687A091D"/>
    <w:rsid w:val="69211EE7"/>
    <w:rsid w:val="69270B20"/>
    <w:rsid w:val="692F3B3E"/>
    <w:rsid w:val="694035C3"/>
    <w:rsid w:val="697608AF"/>
    <w:rsid w:val="69A9343D"/>
    <w:rsid w:val="6A211646"/>
    <w:rsid w:val="6A644C32"/>
    <w:rsid w:val="6AAB53B4"/>
    <w:rsid w:val="6AEA12D3"/>
    <w:rsid w:val="6B3F37D8"/>
    <w:rsid w:val="6B57491B"/>
    <w:rsid w:val="6B973DEE"/>
    <w:rsid w:val="6C886B86"/>
    <w:rsid w:val="6CB9476C"/>
    <w:rsid w:val="6CBC5656"/>
    <w:rsid w:val="6D052350"/>
    <w:rsid w:val="6DB072EE"/>
    <w:rsid w:val="6DB27721"/>
    <w:rsid w:val="6E7D2BC3"/>
    <w:rsid w:val="6F411E43"/>
    <w:rsid w:val="6F767D3E"/>
    <w:rsid w:val="6F8B7C47"/>
    <w:rsid w:val="6FB57C6B"/>
    <w:rsid w:val="6FE6024B"/>
    <w:rsid w:val="6FEE6B24"/>
    <w:rsid w:val="70E61E83"/>
    <w:rsid w:val="716A5647"/>
    <w:rsid w:val="717A558C"/>
    <w:rsid w:val="71834994"/>
    <w:rsid w:val="71C31E24"/>
    <w:rsid w:val="720F31AC"/>
    <w:rsid w:val="722B6946"/>
    <w:rsid w:val="72805C83"/>
    <w:rsid w:val="739F1331"/>
    <w:rsid w:val="73B01A20"/>
    <w:rsid w:val="73CD1EF7"/>
    <w:rsid w:val="740C27D3"/>
    <w:rsid w:val="741A42F5"/>
    <w:rsid w:val="741D1A2C"/>
    <w:rsid w:val="742A20DE"/>
    <w:rsid w:val="743407F9"/>
    <w:rsid w:val="74C85C01"/>
    <w:rsid w:val="74F23551"/>
    <w:rsid w:val="74F621DB"/>
    <w:rsid w:val="75600A9A"/>
    <w:rsid w:val="75A31E88"/>
    <w:rsid w:val="76164BEC"/>
    <w:rsid w:val="76345E08"/>
    <w:rsid w:val="76803361"/>
    <w:rsid w:val="76CC5462"/>
    <w:rsid w:val="777B00BC"/>
    <w:rsid w:val="779E0502"/>
    <w:rsid w:val="77B41BE7"/>
    <w:rsid w:val="78C24F88"/>
    <w:rsid w:val="78FF4A57"/>
    <w:rsid w:val="79152061"/>
    <w:rsid w:val="79507852"/>
    <w:rsid w:val="79DC2E94"/>
    <w:rsid w:val="79EC688A"/>
    <w:rsid w:val="7A0A5307"/>
    <w:rsid w:val="7A393AB3"/>
    <w:rsid w:val="7ACA2072"/>
    <w:rsid w:val="7B2F514A"/>
    <w:rsid w:val="7BE71034"/>
    <w:rsid w:val="7C3F3BAE"/>
    <w:rsid w:val="7D0755A2"/>
    <w:rsid w:val="7D75516E"/>
    <w:rsid w:val="7E0830C6"/>
    <w:rsid w:val="7E665422"/>
    <w:rsid w:val="7E9C7095"/>
    <w:rsid w:val="7EAA3560"/>
    <w:rsid w:val="7EC32874"/>
    <w:rsid w:val="7EC849B3"/>
    <w:rsid w:val="7F143B0F"/>
    <w:rsid w:val="7F69768D"/>
    <w:rsid w:val="7F9D0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20" w:lineRule="exact"/>
      <w:ind w:firstLine="600" w:firstLineChars="200"/>
      <w:jc w:val="both"/>
    </w:pPr>
    <w:rPr>
      <w:rFonts w:ascii="Times New Roman" w:hAnsi="Times New Roman" w:eastAsia="仿宋_GB2312" w:cs="Times New Roman"/>
      <w:kern w:val="2"/>
      <w:sz w:val="28"/>
      <w:szCs w:val="28"/>
      <w:lang w:val="en-US" w:eastAsia="zh-CN" w:bidi="ar-SA"/>
    </w:rPr>
  </w:style>
  <w:style w:type="paragraph" w:styleId="3">
    <w:name w:val="heading 1"/>
    <w:basedOn w:val="1"/>
    <w:next w:val="1"/>
    <w:qFormat/>
    <w:uiPriority w:val="0"/>
    <w:pPr>
      <w:keepNext/>
      <w:keepLines/>
      <w:spacing w:beforeLines="0" w:beforeAutospacing="0" w:afterLines="0" w:afterAutospacing="0" w:line="520" w:lineRule="exact"/>
      <w:ind w:firstLine="0" w:firstLineChars="0"/>
      <w:jc w:val="left"/>
      <w:outlineLvl w:val="0"/>
    </w:pPr>
    <w:rPr>
      <w:rFonts w:ascii="Times New Roman" w:hAnsi="Times New Roman" w:eastAsia="宋体"/>
      <w:b/>
      <w:bCs/>
      <w:kern w:val="44"/>
      <w:sz w:val="30"/>
      <w:szCs w:val="30"/>
    </w:rPr>
  </w:style>
  <w:style w:type="paragraph" w:styleId="4">
    <w:name w:val="heading 2"/>
    <w:basedOn w:val="1"/>
    <w:next w:val="1"/>
    <w:unhideWhenUsed/>
    <w:qFormat/>
    <w:uiPriority w:val="0"/>
    <w:pPr>
      <w:keepNext/>
      <w:keepLines/>
      <w:spacing w:beforeLines="0" w:beforeAutospacing="0" w:afterLines="0" w:afterAutospacing="0" w:line="520" w:lineRule="exact"/>
      <w:ind w:firstLine="600" w:firstLineChars="200"/>
      <w:jc w:val="left"/>
      <w:outlineLvl w:val="1"/>
    </w:pPr>
    <w:rPr>
      <w:rFonts w:ascii="Times New Roman" w:hAnsi="Times New Roman" w:eastAsia="宋体"/>
      <w:b/>
      <w:bCs/>
    </w:rPr>
  </w:style>
  <w:style w:type="paragraph" w:styleId="5">
    <w:name w:val="heading 3"/>
    <w:basedOn w:val="1"/>
    <w:next w:val="1"/>
    <w:unhideWhenUsed/>
    <w:qFormat/>
    <w:uiPriority w:val="0"/>
    <w:pPr>
      <w:keepNext/>
      <w:keepLines/>
      <w:spacing w:beforeLines="0" w:beforeAutospacing="0" w:afterLines="0" w:afterAutospacing="0" w:line="520" w:lineRule="exact"/>
      <w:outlineLvl w:val="2"/>
    </w:pPr>
    <w:rPr>
      <w:rFonts w:ascii="Times New Roman" w:hAnsi="Times New Roman" w:eastAsia="宋体"/>
      <w:b/>
      <w:szCs w:val="30"/>
    </w:rPr>
  </w:style>
  <w:style w:type="paragraph" w:styleId="6">
    <w:name w:val="heading 4"/>
    <w:basedOn w:val="1"/>
    <w:next w:val="1"/>
    <w:unhideWhenUsed/>
    <w:qFormat/>
    <w:uiPriority w:val="0"/>
    <w:pPr>
      <w:keepNext/>
      <w:keepLines/>
      <w:spacing w:beforeLines="0" w:beforeAutospacing="0" w:afterLines="0" w:afterAutospacing="0" w:line="520" w:lineRule="exact"/>
      <w:outlineLvl w:val="3"/>
    </w:pPr>
    <w:rPr>
      <w:rFonts w:eastAsia="仿宋_GB2312" w:cs="Times New Roman"/>
      <w:b/>
      <w:bCs/>
    </w:rPr>
  </w:style>
  <w:style w:type="paragraph" w:styleId="7">
    <w:name w:val="heading 5"/>
    <w:basedOn w:val="1"/>
    <w:next w:val="1"/>
    <w:unhideWhenUsed/>
    <w:qFormat/>
    <w:uiPriority w:val="0"/>
    <w:pPr>
      <w:keepNext/>
      <w:keepLines/>
      <w:spacing w:beforeLines="0" w:beforeAutospacing="0" w:afterLines="0" w:afterAutospacing="0" w:line="520" w:lineRule="exact"/>
      <w:outlineLvl w:val="4"/>
    </w:pPr>
    <w:rPr>
      <w:rFonts w:ascii="Times New Roman" w:hAnsi="Times New Roman"/>
      <w:b/>
      <w:bCs/>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customStyle="1" w:styleId="2">
    <w:name w:val="正文new"/>
    <w:basedOn w:val="1"/>
    <w:qFormat/>
    <w:uiPriority w:val="0"/>
    <w:pPr>
      <w:adjustRightInd w:val="0"/>
      <w:snapToGrid w:val="0"/>
      <w:spacing w:line="500" w:lineRule="exact"/>
      <w:ind w:firstLine="480" w:firstLineChars="200"/>
    </w:pPr>
    <w:rPr>
      <w:rFonts w:ascii="Times New Roman" w:hAnsi="Times New Roman" w:eastAsia="宋体"/>
      <w:sz w:val="24"/>
    </w:rPr>
  </w:style>
  <w:style w:type="paragraph" w:styleId="8">
    <w:name w:val="Normal Indent"/>
    <w:basedOn w:val="1"/>
    <w:qFormat/>
    <w:uiPriority w:val="0"/>
    <w:pPr>
      <w:ind w:firstLine="420" w:firstLineChars="200"/>
    </w:pPr>
  </w:style>
  <w:style w:type="paragraph" w:styleId="9">
    <w:name w:val="Body Text"/>
    <w:basedOn w:val="1"/>
    <w:qFormat/>
    <w:uiPriority w:val="0"/>
    <w:pPr>
      <w:spacing w:after="120" w:afterLines="0" w:afterAutospacing="0"/>
    </w:pPr>
    <w:rPr>
      <w:rFonts w:ascii="Times New Roman" w:hAnsi="Times New Roman" w:eastAsia="宋体" w:cs="Times New Roman"/>
      <w:sz w:val="24"/>
      <w:szCs w:val="24"/>
    </w:r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List"/>
    <w:basedOn w:val="1"/>
    <w:next w:val="2"/>
    <w:qFormat/>
    <w:uiPriority w:val="0"/>
    <w:pPr>
      <w:spacing w:line="240" w:lineRule="auto"/>
      <w:ind w:firstLine="0" w:firstLineChars="0"/>
      <w:jc w:val="left"/>
    </w:pPr>
    <w:rPr>
      <w:color w:val="auto"/>
      <w:sz w:val="18"/>
      <w:szCs w:val="20"/>
    </w:rPr>
  </w:style>
  <w:style w:type="paragraph" w:styleId="17">
    <w:name w:val="footnote text"/>
    <w:basedOn w:val="1"/>
    <w:qFormat/>
    <w:uiPriority w:val="0"/>
    <w:pPr>
      <w:snapToGrid w:val="0"/>
      <w:jc w:val="left"/>
    </w:pPr>
    <w:rPr>
      <w:sz w:val="18"/>
    </w:rPr>
  </w:style>
  <w:style w:type="paragraph" w:styleId="18">
    <w:name w:val="toc 2"/>
    <w:basedOn w:val="1"/>
    <w:next w:val="1"/>
    <w:qFormat/>
    <w:uiPriority w:val="0"/>
    <w:pPr>
      <w:ind w:left="420" w:leftChars="200"/>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1"/>
    <w:next w:val="1"/>
    <w:qFormat/>
    <w:uiPriority w:val="0"/>
    <w:pPr>
      <w:ind w:firstLine="420" w:firstLineChars="1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0"/>
    <w:rPr>
      <w:color w:val="0000FF"/>
      <w:u w:val="single"/>
    </w:rPr>
  </w:style>
  <w:style w:type="character" w:styleId="25">
    <w:name w:val="footnote reference"/>
    <w:basedOn w:val="23"/>
    <w:qFormat/>
    <w:uiPriority w:val="0"/>
    <w:rPr>
      <w:vertAlign w:val="superscript"/>
    </w:rPr>
  </w:style>
  <w:style w:type="paragraph" w:customStyle="1" w:styleId="26">
    <w:name w:val="表"/>
    <w:basedOn w:val="1"/>
    <w:qFormat/>
    <w:uiPriority w:val="0"/>
    <w:pPr>
      <w:widowControl/>
      <w:adjustRightInd/>
      <w:snapToGrid/>
      <w:spacing w:line="240" w:lineRule="auto"/>
      <w:ind w:firstLine="0" w:firstLineChars="0"/>
      <w:jc w:val="center"/>
    </w:pPr>
    <w:rPr>
      <w:rFonts w:ascii="Times New Roman" w:hAnsi="Times New Roman" w:eastAsia="仿宋_GB2312"/>
      <w:sz w:val="24"/>
      <w:szCs w:val="24"/>
    </w:rPr>
  </w:style>
  <w:style w:type="paragraph" w:customStyle="1" w:styleId="27">
    <w:name w:val="图标标题"/>
    <w:basedOn w:val="1"/>
    <w:qFormat/>
    <w:uiPriority w:val="0"/>
    <w:pPr>
      <w:spacing w:line="240" w:lineRule="auto"/>
      <w:ind w:firstLine="0" w:firstLineChars="0"/>
      <w:jc w:val="center"/>
    </w:pPr>
    <w:rPr>
      <w:rFonts w:hint="eastAsia" w:eastAsia="仿宋_GB2312" w:cs="Times New Roman"/>
      <w:b/>
      <w:bCs/>
      <w:sz w:val="24"/>
      <w:szCs w:val="24"/>
    </w:rPr>
  </w:style>
  <w:style w:type="paragraph" w:customStyle="1" w:styleId="28">
    <w:name w:val="报告四级"/>
    <w:basedOn w:val="6"/>
    <w:qFormat/>
    <w:uiPriority w:val="0"/>
    <w:pPr>
      <w:spacing w:before="120" w:beforeLines="0" w:after="0" w:afterLines="0" w:line="300" w:lineRule="auto"/>
      <w:ind w:firstLine="422" w:firstLineChars="200"/>
    </w:pPr>
    <w:rPr>
      <w:rFonts w:ascii="宋体" w:hAnsi="宋体" w:eastAsia="宋体"/>
      <w:b w:val="0"/>
      <w:sz w:val="21"/>
    </w:rPr>
  </w:style>
  <w:style w:type="paragraph" w:customStyle="1" w:styleId="29">
    <w:name w:val="报告正文"/>
    <w:basedOn w:val="1"/>
    <w:link w:val="41"/>
    <w:qFormat/>
    <w:uiPriority w:val="0"/>
    <w:pPr>
      <w:spacing w:line="360" w:lineRule="auto"/>
      <w:ind w:firstLine="420" w:firstLineChars="200"/>
    </w:pPr>
    <w:rPr>
      <w:rFonts w:ascii="宋体" w:hAnsi="宋体" w:eastAsia="宋体"/>
      <w:sz w:val="24"/>
      <w:szCs w:val="21"/>
    </w:rPr>
  </w:style>
  <w:style w:type="paragraph" w:customStyle="1" w:styleId="30">
    <w:name w:val="正2-正文1"/>
    <w:basedOn w:val="1"/>
    <w:link w:val="44"/>
    <w:qFormat/>
    <w:uiPriority w:val="0"/>
    <w:pPr>
      <w:overflowPunct w:val="0"/>
      <w:autoSpaceDE w:val="0"/>
      <w:autoSpaceDN w:val="0"/>
      <w:spacing w:line="560" w:lineRule="exact"/>
      <w:ind w:firstLine="200" w:firstLineChars="200"/>
    </w:pPr>
    <w:rPr>
      <w:rFonts w:eastAsia="仿宋_GB2312" w:cs="宋体"/>
      <w:spacing w:val="2"/>
      <w:sz w:val="30"/>
      <w:szCs w:val="22"/>
    </w:rPr>
  </w:style>
  <w:style w:type="paragraph" w:customStyle="1" w:styleId="31">
    <w:name w:val="标题3"/>
    <w:basedOn w:val="5"/>
    <w:qFormat/>
    <w:uiPriority w:val="0"/>
    <w:pPr>
      <w:numPr>
        <w:ilvl w:val="0"/>
        <w:numId w:val="1"/>
      </w:numPr>
      <w:kinsoku w:val="0"/>
      <w:spacing w:after="120" w:line="415" w:lineRule="auto"/>
      <w:jc w:val="left"/>
    </w:pPr>
    <w:rPr>
      <w:rFonts w:ascii="黑体" w:hAnsi="黑体" w:eastAsia="楷体_GB2312"/>
      <w:kern w:val="0"/>
    </w:rPr>
  </w:style>
  <w:style w:type="character" w:customStyle="1" w:styleId="32">
    <w:name w:val="font11"/>
    <w:basedOn w:val="23"/>
    <w:qFormat/>
    <w:uiPriority w:val="0"/>
    <w:rPr>
      <w:rFonts w:hint="eastAsia" w:ascii="仿宋" w:hAnsi="仿宋" w:eastAsia="仿宋" w:cs="仿宋"/>
      <w:b/>
      <w:bCs/>
      <w:color w:val="000000"/>
      <w:sz w:val="24"/>
      <w:szCs w:val="24"/>
      <w:u w:val="none"/>
    </w:rPr>
  </w:style>
  <w:style w:type="character" w:customStyle="1" w:styleId="33">
    <w:name w:val="font31"/>
    <w:basedOn w:val="23"/>
    <w:qFormat/>
    <w:uiPriority w:val="0"/>
    <w:rPr>
      <w:rFonts w:hint="default" w:ascii="Times New Roman" w:hAnsi="Times New Roman" w:cs="Times New Roman"/>
      <w:color w:val="000000"/>
      <w:sz w:val="24"/>
      <w:szCs w:val="24"/>
      <w:u w:val="none"/>
    </w:rPr>
  </w:style>
  <w:style w:type="character" w:customStyle="1" w:styleId="34">
    <w:name w:val="font41"/>
    <w:basedOn w:val="23"/>
    <w:qFormat/>
    <w:uiPriority w:val="0"/>
    <w:rPr>
      <w:rFonts w:hint="eastAsia" w:ascii="仿宋" w:hAnsi="仿宋" w:eastAsia="仿宋" w:cs="仿宋"/>
      <w:color w:val="000000"/>
      <w:sz w:val="24"/>
      <w:szCs w:val="24"/>
      <w:u w:val="none"/>
    </w:rPr>
  </w:style>
  <w:style w:type="paragraph" w:customStyle="1" w:styleId="35">
    <w:name w:val="报告三级"/>
    <w:basedOn w:val="5"/>
    <w:qFormat/>
    <w:uiPriority w:val="0"/>
    <w:pPr>
      <w:spacing w:beforeLines="0" w:afterLines="0" w:line="500" w:lineRule="exact"/>
      <w:jc w:val="left"/>
    </w:pPr>
    <w:rPr>
      <w:rFonts w:ascii="幼圆" w:hAnsi="幼圆" w:eastAsia="宋体"/>
      <w:sz w:val="24"/>
    </w:rPr>
  </w:style>
  <w:style w:type="paragraph" w:customStyle="1" w:styleId="36">
    <w:name w:val="编号—列表"/>
    <w:basedOn w:val="1"/>
    <w:next w:val="1"/>
    <w:qFormat/>
    <w:uiPriority w:val="0"/>
    <w:pPr>
      <w:spacing w:line="500" w:lineRule="exact"/>
      <w:jc w:val="center"/>
    </w:pPr>
    <w:rPr>
      <w:sz w:val="18"/>
    </w:rPr>
  </w:style>
  <w:style w:type="paragraph" w:customStyle="1" w:styleId="37">
    <w:name w:val="样式 标题 4 + 宋体1"/>
    <w:basedOn w:val="6"/>
    <w:qFormat/>
    <w:uiPriority w:val="0"/>
    <w:pPr>
      <w:spacing w:before="120" w:beforeLines="0" w:after="0" w:afterLines="0" w:line="360" w:lineRule="auto"/>
    </w:pPr>
    <w:rPr>
      <w:rFonts w:ascii="宋体" w:hAnsi="宋体" w:eastAsia="宋体"/>
      <w:sz w:val="24"/>
    </w:rPr>
  </w:style>
  <w:style w:type="paragraph" w:customStyle="1" w:styleId="38">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39">
    <w:name w:val="基准报告正文"/>
    <w:qFormat/>
    <w:uiPriority w:val="0"/>
    <w:pPr>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40">
    <w:name w:val="font21"/>
    <w:basedOn w:val="23"/>
    <w:qFormat/>
    <w:uiPriority w:val="0"/>
    <w:rPr>
      <w:rFonts w:hint="eastAsia" w:ascii="宋体" w:hAnsi="宋体" w:eastAsia="宋体" w:cs="宋体"/>
      <w:color w:val="000000"/>
      <w:sz w:val="18"/>
      <w:szCs w:val="18"/>
      <w:u w:val="none"/>
    </w:rPr>
  </w:style>
  <w:style w:type="character" w:customStyle="1" w:styleId="41">
    <w:name w:val="报告正文 Char Char"/>
    <w:basedOn w:val="23"/>
    <w:link w:val="29"/>
    <w:qFormat/>
    <w:uiPriority w:val="0"/>
    <w:rPr>
      <w:rFonts w:ascii="宋体" w:hAnsi="宋体" w:eastAsia="宋体"/>
      <w:sz w:val="24"/>
      <w:szCs w:val="21"/>
    </w:rPr>
  </w:style>
  <w:style w:type="character" w:customStyle="1" w:styleId="42">
    <w:name w:val="font01"/>
    <w:basedOn w:val="23"/>
    <w:qFormat/>
    <w:uiPriority w:val="0"/>
    <w:rPr>
      <w:rFonts w:hint="eastAsia" w:ascii="宋体" w:hAnsi="宋体" w:eastAsia="宋体" w:cs="宋体"/>
      <w:color w:val="000000"/>
      <w:sz w:val="18"/>
      <w:szCs w:val="18"/>
      <w:u w:val="none"/>
    </w:rPr>
  </w:style>
  <w:style w:type="character" w:customStyle="1" w:styleId="43">
    <w:name w:val="font51"/>
    <w:basedOn w:val="23"/>
    <w:qFormat/>
    <w:uiPriority w:val="0"/>
    <w:rPr>
      <w:rFonts w:hint="default" w:ascii="方正仿宋简体" w:hAnsi="方正仿宋简体" w:eastAsia="方正仿宋简体" w:cs="方正仿宋简体"/>
      <w:color w:val="000000"/>
      <w:sz w:val="24"/>
      <w:szCs w:val="24"/>
      <w:u w:val="none"/>
    </w:rPr>
  </w:style>
  <w:style w:type="character" w:customStyle="1" w:styleId="44">
    <w:name w:val="2-正文1 Char"/>
    <w:link w:val="30"/>
    <w:qFormat/>
    <w:uiPriority w:val="0"/>
    <w:rPr>
      <w:rFonts w:eastAsia="仿宋_GB2312" w:cs="宋体"/>
      <w:spacing w:val="2"/>
      <w:sz w:val="30"/>
      <w:szCs w:val="22"/>
    </w:rPr>
  </w:style>
  <w:style w:type="paragraph" w:customStyle="1" w:styleId="45">
    <w:name w:val="表格内文字"/>
    <w:qFormat/>
    <w:uiPriority w:val="0"/>
    <w:pPr>
      <w:widowControl/>
      <w:spacing w:line="240" w:lineRule="atLeast"/>
      <w:ind w:firstLine="0" w:firstLineChars="0"/>
      <w:jc w:val="center"/>
    </w:pPr>
    <w:rPr>
      <w:rFonts w:ascii="宋体" w:hAnsi="宋体" w:eastAsia="宋体" w:cs="宋体"/>
      <w:bCs/>
      <w:kern w:val="2"/>
      <w:sz w:val="18"/>
      <w:szCs w:val="18"/>
      <w:lang w:val="en-US" w:eastAsia="zh-CN" w:bidi="ar-SA"/>
    </w:rPr>
  </w:style>
  <w:style w:type="paragraph" w:customStyle="1" w:styleId="46">
    <w:name w:val="表格文字"/>
    <w:qFormat/>
    <w:uiPriority w:val="0"/>
    <w:pPr>
      <w:widowControl w:val="0"/>
      <w:jc w:val="center"/>
    </w:pPr>
    <w:rPr>
      <w:rFonts w:ascii="Times New Roman" w:hAnsi="Times New Roman" w:eastAsia="宋体" w:cs="Times New Roman"/>
      <w:kern w:val="2"/>
      <w:sz w:val="18"/>
      <w:szCs w:val="24"/>
      <w:lang w:val="en-US" w:eastAsia="zh-CN" w:bidi="ar-SA"/>
    </w:rPr>
  </w:style>
  <w:style w:type="paragraph" w:customStyle="1" w:styleId="47">
    <w:name w:val="正文2012"/>
    <w:basedOn w:val="20"/>
    <w:qFormat/>
    <w:uiPriority w:val="0"/>
    <w:pPr>
      <w:tabs>
        <w:tab w:val="left" w:pos="180"/>
        <w:tab w:val="left" w:pos="1980"/>
      </w:tabs>
    </w:pPr>
    <w:rPr>
      <w:rFonts w:ascii="Times New Roman" w:hAnsi="Arial"/>
      <w:color w:val="000000"/>
      <w:kern w:val="0"/>
      <w:shd w:val="clear" w:color="auto" w:fill="FFFFFF"/>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Table Text"/>
    <w:basedOn w:val="1"/>
    <w:semiHidden/>
    <w:qFormat/>
    <w:uiPriority w:val="0"/>
    <w:rPr>
      <w:rFonts w:ascii="Times New Roman" w:hAnsi="Times New Roman" w:eastAsia="Times New Roman" w:cs="Times New Roman"/>
      <w:sz w:val="22"/>
      <w:szCs w:val="22"/>
      <w:lang w:val="en-US" w:eastAsia="en-US" w:bidi="ar-SA"/>
    </w:rPr>
  </w:style>
  <w:style w:type="character" w:customStyle="1" w:styleId="50">
    <w:name w:val="font61"/>
    <w:basedOn w:val="23"/>
    <w:qFormat/>
    <w:uiPriority w:val="0"/>
    <w:rPr>
      <w:rFonts w:hint="eastAsia" w:ascii="仿宋_GB2312" w:eastAsia="仿宋_GB2312" w:cs="仿宋_GB2312"/>
      <w:b/>
      <w:bCs/>
      <w:color w:val="000000"/>
      <w:sz w:val="28"/>
      <w:szCs w:val="28"/>
      <w:u w:val="none"/>
    </w:rPr>
  </w:style>
  <w:style w:type="character" w:customStyle="1" w:styleId="51">
    <w:name w:val="font71"/>
    <w:basedOn w:val="23"/>
    <w:qFormat/>
    <w:uiPriority w:val="0"/>
    <w:rPr>
      <w:rFonts w:hint="eastAsia" w:ascii="仿宋_GB2312" w:eastAsia="仿宋_GB2312" w:cs="仿宋_GB2312"/>
      <w:color w:val="000000"/>
      <w:sz w:val="24"/>
      <w:szCs w:val="24"/>
      <w:u w:val="none"/>
    </w:rPr>
  </w:style>
  <w:style w:type="character" w:customStyle="1" w:styleId="52">
    <w:name w:val="font81"/>
    <w:basedOn w:val="23"/>
    <w:qFormat/>
    <w:uiPriority w:val="0"/>
    <w:rPr>
      <w:rFonts w:hint="default" w:ascii="Times New Roman" w:hAnsi="Times New Roman" w:cs="Times New Roman"/>
      <w:color w:val="000000"/>
      <w:sz w:val="18"/>
      <w:szCs w:val="18"/>
      <w:u w:val="none"/>
    </w:rPr>
  </w:style>
  <w:style w:type="paragraph" w:customStyle="1" w:styleId="53">
    <w:name w:val="正文2010"/>
    <w:basedOn w:val="20"/>
    <w:qFormat/>
    <w:uiPriority w:val="0"/>
    <w:pPr>
      <w:tabs>
        <w:tab w:val="left" w:pos="180"/>
        <w:tab w:val="left" w:pos="1980"/>
      </w:tabs>
      <w:spacing w:line="500" w:lineRule="exact"/>
      <w:ind w:firstLineChars="200"/>
    </w:pPr>
    <w:rPr>
      <w:rFonts w:ascii="Times New Roman" w:hAnsi="Times New Roman" w:eastAsia="宋体"/>
      <w:sz w:val="24"/>
      <w:szCs w:val="21"/>
      <w:lang w:val="zh-CN"/>
    </w:rPr>
  </w:style>
  <w:style w:type="paragraph" w:customStyle="1" w:styleId="54">
    <w:name w:val="WPSOffice手动目录 1"/>
    <w:qFormat/>
    <w:uiPriority w:val="0"/>
    <w:pPr>
      <w:ind w:leftChars="0"/>
    </w:pPr>
    <w:rPr>
      <w:rFonts w:ascii="Times New Roman" w:hAnsi="Times New Roman" w:eastAsia="宋体" w:cs="Times New Roman"/>
      <w:sz w:val="20"/>
      <w:szCs w:val="20"/>
    </w:rPr>
  </w:style>
  <w:style w:type="paragraph" w:customStyle="1" w:styleId="55">
    <w:name w:val="WPSOffice手动目录 2"/>
    <w:qFormat/>
    <w:uiPriority w:val="0"/>
    <w:pPr>
      <w:ind w:leftChars="200"/>
    </w:pPr>
    <w:rPr>
      <w:rFonts w:ascii="Times New Roman" w:hAnsi="Times New Roman" w:eastAsia="宋体" w:cs="Times New Roman"/>
      <w:sz w:val="20"/>
      <w:szCs w:val="20"/>
    </w:rPr>
  </w:style>
  <w:style w:type="paragraph" w:customStyle="1" w:styleId="56">
    <w:name w:val="WPSOffice手动目录 3"/>
    <w:qFormat/>
    <w:uiPriority w:val="0"/>
    <w:pPr>
      <w:ind w:leftChars="400"/>
    </w:pPr>
    <w:rPr>
      <w:rFonts w:ascii="Times New Roman" w:hAnsi="Times New Roman" w:eastAsia="宋体" w:cs="Times New Roman"/>
      <w:sz w:val="20"/>
      <w:szCs w:val="20"/>
    </w:rPr>
  </w:style>
  <w:style w:type="character" w:customStyle="1" w:styleId="57">
    <w:name w:val="font91"/>
    <w:basedOn w:val="23"/>
    <w:qFormat/>
    <w:uiPriority w:val="0"/>
    <w:rPr>
      <w:rFonts w:hint="default" w:ascii="Times New Roman" w:hAnsi="Times New Roman" w:cs="Times New Roman"/>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5.bin"/><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27576</Words>
  <Characters>52895</Characters>
  <Lines>0</Lines>
  <Paragraphs>0</Paragraphs>
  <TotalTime>1</TotalTime>
  <ScaleCrop>false</ScaleCrop>
  <LinksUpToDate>false</LinksUpToDate>
  <CharactersWithSpaces>53719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2021-10-20T07:33:00Z</dcterms:created>
  <dc:creator>Administrator</dc:creator>
  <cp:lastModifiedBy>木木木乎乎</cp:lastModifiedBy>
  <cp:lastPrinted>2023-11-28T09:09:00Z</cp:lastPrinted>
  <dcterms:modified xsi:type="dcterms:W3CDTF">2024-04-17T07:24:25Z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EFA05C07B8F14C47B3609314DE3D7AE8_13</vt:lpwstr>
  </property>
</Properties>
</file>